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1E0" w:firstRow="1" w:lastRow="1" w:firstColumn="1" w:lastColumn="1" w:noHBand="0" w:noVBand="0"/>
      </w:tblPr>
      <w:tblGrid>
        <w:gridCol w:w="3284"/>
        <w:gridCol w:w="1643"/>
        <w:gridCol w:w="1642"/>
        <w:gridCol w:w="3285"/>
      </w:tblGrid>
      <w:tr w:rsidR="00B831E6" w:rsidTr="00B831E6">
        <w:trPr>
          <w:trHeight w:val="1127"/>
        </w:trPr>
        <w:tc>
          <w:tcPr>
            <w:tcW w:w="9854" w:type="dxa"/>
            <w:gridSpan w:val="4"/>
            <w:shd w:val="clear" w:color="auto" w:fill="auto"/>
          </w:tcPr>
          <w:p w:rsidR="00B831E6" w:rsidRPr="00F61C6B" w:rsidRDefault="00871AD1" w:rsidP="00DE6133">
            <w:pPr>
              <w:pStyle w:val="af"/>
              <w:rPr>
                <w:lang w:val="ru-RU" w:eastAsia="ru-RU"/>
              </w:rPr>
            </w:pPr>
            <w:r w:rsidRPr="00B831E6">
              <w:rPr>
                <w:szCs w:val="28"/>
              </w:rPr>
              <w:t xml:space="preserve"> </w:t>
            </w:r>
            <w:r w:rsidR="00B831E6">
              <w:rPr>
                <w:noProof/>
                <w:lang w:val="ru-RU" w:eastAsia="ru-RU"/>
              </w:rPr>
              <w:drawing>
                <wp:inline distT="0" distB="0" distL="0" distR="0">
                  <wp:extent cx="4191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9100" cy="600075"/>
                          </a:xfrm>
                          <a:prstGeom prst="rect">
                            <a:avLst/>
                          </a:prstGeom>
                          <a:noFill/>
                          <a:ln w="9525">
                            <a:noFill/>
                            <a:miter lim="800000"/>
                            <a:headEnd/>
                            <a:tailEnd/>
                          </a:ln>
                        </pic:spPr>
                      </pic:pic>
                    </a:graphicData>
                  </a:graphic>
                </wp:inline>
              </w:drawing>
            </w:r>
          </w:p>
        </w:tc>
      </w:tr>
      <w:tr w:rsidR="00B831E6" w:rsidTr="00B831E6">
        <w:trPr>
          <w:trHeight w:val="616"/>
        </w:trPr>
        <w:tc>
          <w:tcPr>
            <w:tcW w:w="9854" w:type="dxa"/>
            <w:gridSpan w:val="4"/>
            <w:shd w:val="clear" w:color="auto" w:fill="auto"/>
          </w:tcPr>
          <w:p w:rsidR="00B831E6" w:rsidRPr="00F61C6B" w:rsidRDefault="00B831E6" w:rsidP="00DE6133">
            <w:pPr>
              <w:pStyle w:val="af"/>
              <w:rPr>
                <w:b/>
                <w:bCs/>
                <w:sz w:val="6"/>
                <w:szCs w:val="6"/>
                <w:lang w:val="ru-RU" w:eastAsia="ru-RU"/>
              </w:rPr>
            </w:pPr>
          </w:p>
          <w:p w:rsidR="00B831E6" w:rsidRPr="00F61C6B" w:rsidRDefault="00B831E6" w:rsidP="00DE6133">
            <w:pPr>
              <w:pStyle w:val="af"/>
              <w:rPr>
                <w:b/>
                <w:bCs/>
                <w:spacing w:val="20"/>
                <w:sz w:val="28"/>
                <w:lang w:val="ru-RU" w:eastAsia="ru-RU"/>
              </w:rPr>
            </w:pPr>
            <w:r>
              <w:rPr>
                <w:b/>
                <w:bCs/>
                <w:sz w:val="28"/>
                <w:lang w:val="ru-RU" w:eastAsia="ru-RU"/>
              </w:rPr>
              <w:t xml:space="preserve"> </w:t>
            </w:r>
            <w:r w:rsidRPr="00F61C6B">
              <w:rPr>
                <w:b/>
                <w:bCs/>
                <w:sz w:val="28"/>
                <w:lang w:val="ru-RU" w:eastAsia="ru-RU"/>
              </w:rPr>
              <w:t>БОБРОВИЦЬКА М</w:t>
            </w:r>
            <w:proofErr w:type="gramStart"/>
            <w:r w:rsidRPr="00F61C6B">
              <w:rPr>
                <w:b/>
                <w:bCs/>
                <w:sz w:val="28"/>
                <w:lang w:val="ru-RU" w:eastAsia="ru-RU"/>
              </w:rPr>
              <w:t>I</w:t>
            </w:r>
            <w:proofErr w:type="gramEnd"/>
            <w:r w:rsidRPr="00F61C6B">
              <w:rPr>
                <w:b/>
                <w:bCs/>
                <w:sz w:val="28"/>
                <w:lang w:val="ru-RU" w:eastAsia="ru-RU"/>
              </w:rPr>
              <w:t>СЬКА РАДА</w:t>
            </w:r>
            <w:r w:rsidRPr="00F61C6B">
              <w:rPr>
                <w:b/>
                <w:bCs/>
                <w:spacing w:val="20"/>
                <w:sz w:val="28"/>
                <w:lang w:val="ru-RU" w:eastAsia="ru-RU"/>
              </w:rPr>
              <w:t xml:space="preserve"> </w:t>
            </w:r>
            <w:r>
              <w:rPr>
                <w:b/>
                <w:bCs/>
                <w:spacing w:val="20"/>
                <w:sz w:val="28"/>
                <w:lang w:val="ru-RU" w:eastAsia="ru-RU"/>
              </w:rPr>
              <w:t xml:space="preserve">              </w:t>
            </w:r>
          </w:p>
          <w:p w:rsidR="00B831E6" w:rsidRDefault="00B831E6" w:rsidP="00DE6133">
            <w:pPr>
              <w:pStyle w:val="af"/>
              <w:rPr>
                <w:b/>
                <w:bCs/>
                <w:spacing w:val="20"/>
                <w:sz w:val="28"/>
                <w:szCs w:val="28"/>
                <w:lang w:eastAsia="ru-RU"/>
              </w:rPr>
            </w:pPr>
            <w:proofErr w:type="spellStart"/>
            <w:r w:rsidRPr="00F61C6B">
              <w:rPr>
                <w:b/>
                <w:bCs/>
                <w:spacing w:val="20"/>
                <w:sz w:val="28"/>
                <w:szCs w:val="28"/>
                <w:lang w:val="ru-RU" w:eastAsia="ru-RU"/>
              </w:rPr>
              <w:t>Чернігівської</w:t>
            </w:r>
            <w:proofErr w:type="spellEnd"/>
            <w:r w:rsidRPr="00F61C6B">
              <w:rPr>
                <w:b/>
                <w:bCs/>
                <w:spacing w:val="20"/>
                <w:sz w:val="28"/>
                <w:szCs w:val="28"/>
                <w:lang w:val="ru-RU" w:eastAsia="ru-RU"/>
              </w:rPr>
              <w:t xml:space="preserve"> </w:t>
            </w:r>
            <w:proofErr w:type="spellStart"/>
            <w:r w:rsidRPr="00F61C6B">
              <w:rPr>
                <w:b/>
                <w:bCs/>
                <w:spacing w:val="20"/>
                <w:sz w:val="28"/>
                <w:szCs w:val="28"/>
                <w:lang w:val="ru-RU" w:eastAsia="ru-RU"/>
              </w:rPr>
              <w:t>област</w:t>
            </w:r>
            <w:proofErr w:type="gramStart"/>
            <w:r w:rsidRPr="00F61C6B">
              <w:rPr>
                <w:b/>
                <w:bCs/>
                <w:spacing w:val="20"/>
                <w:sz w:val="28"/>
                <w:szCs w:val="28"/>
                <w:lang w:val="ru-RU" w:eastAsia="ru-RU"/>
              </w:rPr>
              <w:t>i</w:t>
            </w:r>
            <w:proofErr w:type="spellEnd"/>
            <w:proofErr w:type="gramEnd"/>
          </w:p>
          <w:p w:rsidR="00B831E6" w:rsidRPr="00F61C6B" w:rsidRDefault="00B831E6" w:rsidP="00DE6133">
            <w:pPr>
              <w:pStyle w:val="af"/>
              <w:rPr>
                <w:sz w:val="28"/>
                <w:lang w:val="ru-RU" w:eastAsia="ru-RU"/>
              </w:rPr>
            </w:pPr>
            <w:r w:rsidRPr="0072001C">
              <w:rPr>
                <w:sz w:val="28"/>
                <w:lang w:eastAsia="ru-RU"/>
              </w:rPr>
              <w:t>(</w:t>
            </w:r>
            <w:r w:rsidR="006E6EC3">
              <w:rPr>
                <w:sz w:val="28"/>
                <w:lang w:eastAsia="ru-RU"/>
              </w:rPr>
              <w:t>ДВАДЦЯТЬ ПЕРША</w:t>
            </w:r>
            <w:r>
              <w:rPr>
                <w:sz w:val="28"/>
                <w:lang w:eastAsia="ru-RU"/>
              </w:rPr>
              <w:t xml:space="preserve"> СЕСІЯ СЬОМОГО СКЛИКАННЯ</w:t>
            </w:r>
            <w:r w:rsidRPr="0072001C">
              <w:rPr>
                <w:sz w:val="28"/>
                <w:lang w:eastAsia="ru-RU"/>
              </w:rPr>
              <w:t>)</w:t>
            </w:r>
            <w:r w:rsidRPr="00F61C6B">
              <w:rPr>
                <w:sz w:val="28"/>
                <w:lang w:val="ru-RU" w:eastAsia="ru-RU"/>
              </w:rPr>
              <w:t xml:space="preserve"> </w:t>
            </w:r>
          </w:p>
          <w:p w:rsidR="00B831E6" w:rsidRPr="00F61C6B" w:rsidRDefault="00B831E6" w:rsidP="00DE6133">
            <w:pPr>
              <w:pStyle w:val="af"/>
              <w:rPr>
                <w:lang w:val="ru-RU" w:eastAsia="ru-RU"/>
              </w:rPr>
            </w:pPr>
            <w:r w:rsidRPr="00F61C6B">
              <w:rPr>
                <w:b/>
                <w:bCs/>
                <w:sz w:val="32"/>
                <w:szCs w:val="32"/>
                <w:lang w:val="ru-RU" w:eastAsia="ru-RU"/>
              </w:rPr>
              <w:t xml:space="preserve">Р I Ш Е Н </w:t>
            </w:r>
            <w:proofErr w:type="spellStart"/>
            <w:proofErr w:type="gramStart"/>
            <w:r w:rsidRPr="00F61C6B">
              <w:rPr>
                <w:b/>
                <w:bCs/>
                <w:sz w:val="32"/>
                <w:szCs w:val="32"/>
                <w:lang w:val="ru-RU" w:eastAsia="ru-RU"/>
              </w:rPr>
              <w:t>Н</w:t>
            </w:r>
            <w:proofErr w:type="spellEnd"/>
            <w:proofErr w:type="gramEnd"/>
            <w:r w:rsidRPr="00F61C6B">
              <w:rPr>
                <w:b/>
                <w:bCs/>
                <w:sz w:val="32"/>
                <w:szCs w:val="32"/>
                <w:lang w:val="ru-RU" w:eastAsia="ru-RU"/>
              </w:rPr>
              <w:t xml:space="preserve"> Я</w:t>
            </w:r>
          </w:p>
        </w:tc>
      </w:tr>
      <w:tr w:rsidR="00B831E6" w:rsidTr="00B831E6">
        <w:trPr>
          <w:trHeight w:val="80"/>
        </w:trPr>
        <w:tc>
          <w:tcPr>
            <w:tcW w:w="9854" w:type="dxa"/>
            <w:gridSpan w:val="4"/>
            <w:shd w:val="clear" w:color="auto" w:fill="auto"/>
          </w:tcPr>
          <w:p w:rsidR="00B831E6" w:rsidRPr="00F61C6B" w:rsidRDefault="00B831E6" w:rsidP="00DE6133">
            <w:pPr>
              <w:pStyle w:val="af"/>
              <w:rPr>
                <w:b/>
                <w:bCs/>
                <w:sz w:val="28"/>
                <w:szCs w:val="28"/>
                <w:lang w:val="ru-RU" w:eastAsia="ru-RU"/>
              </w:rPr>
            </w:pPr>
          </w:p>
        </w:tc>
      </w:tr>
      <w:tr w:rsidR="00B831E6" w:rsidTr="00B831E6">
        <w:trPr>
          <w:trHeight w:val="219"/>
        </w:trPr>
        <w:tc>
          <w:tcPr>
            <w:tcW w:w="3284" w:type="dxa"/>
            <w:shd w:val="clear" w:color="auto" w:fill="auto"/>
          </w:tcPr>
          <w:p w:rsidR="00B831E6" w:rsidRPr="0008641D" w:rsidRDefault="006E6EC3" w:rsidP="00DE6133">
            <w:pPr>
              <w:pStyle w:val="af"/>
              <w:jc w:val="left"/>
              <w:rPr>
                <w:sz w:val="28"/>
                <w:szCs w:val="28"/>
                <w:lang w:eastAsia="ru-RU"/>
              </w:rPr>
            </w:pPr>
            <w:r>
              <w:rPr>
                <w:sz w:val="28"/>
                <w:szCs w:val="28"/>
                <w:lang w:eastAsia="ru-RU"/>
              </w:rPr>
              <w:t>26 лип</w:t>
            </w:r>
            <w:r w:rsidR="00B831E6">
              <w:rPr>
                <w:sz w:val="28"/>
                <w:szCs w:val="28"/>
                <w:lang w:eastAsia="ru-RU"/>
              </w:rPr>
              <w:t xml:space="preserve">ня </w:t>
            </w:r>
            <w:r w:rsidR="00B831E6">
              <w:rPr>
                <w:sz w:val="28"/>
                <w:szCs w:val="28"/>
                <w:lang w:val="en-US" w:eastAsia="ru-RU"/>
              </w:rPr>
              <w:t xml:space="preserve"> </w:t>
            </w:r>
            <w:r w:rsidR="00B831E6" w:rsidRPr="0008641D">
              <w:rPr>
                <w:sz w:val="28"/>
                <w:szCs w:val="28"/>
                <w:lang w:eastAsia="ru-RU"/>
              </w:rPr>
              <w:t>201</w:t>
            </w:r>
            <w:r w:rsidR="00B831E6">
              <w:rPr>
                <w:sz w:val="28"/>
                <w:szCs w:val="28"/>
                <w:lang w:eastAsia="ru-RU"/>
              </w:rPr>
              <w:t>9</w:t>
            </w:r>
            <w:r w:rsidR="00B831E6" w:rsidRPr="0008641D">
              <w:rPr>
                <w:sz w:val="28"/>
                <w:szCs w:val="28"/>
                <w:lang w:eastAsia="ru-RU"/>
              </w:rPr>
              <w:t xml:space="preserve"> року</w:t>
            </w:r>
          </w:p>
        </w:tc>
        <w:tc>
          <w:tcPr>
            <w:tcW w:w="3285" w:type="dxa"/>
            <w:gridSpan w:val="2"/>
            <w:shd w:val="clear" w:color="auto" w:fill="auto"/>
          </w:tcPr>
          <w:p w:rsidR="00B831E6" w:rsidRPr="00F61C6B" w:rsidRDefault="00B831E6" w:rsidP="00DE6133">
            <w:pPr>
              <w:pStyle w:val="af"/>
              <w:rPr>
                <w:sz w:val="28"/>
                <w:szCs w:val="28"/>
                <w:lang w:val="ru-RU" w:eastAsia="ru-RU"/>
              </w:rPr>
            </w:pPr>
            <w:proofErr w:type="spellStart"/>
            <w:r w:rsidRPr="00F61C6B">
              <w:rPr>
                <w:sz w:val="28"/>
                <w:szCs w:val="28"/>
                <w:lang w:val="ru-RU" w:eastAsia="ru-RU"/>
              </w:rPr>
              <w:t>м</w:t>
            </w:r>
            <w:proofErr w:type="gramStart"/>
            <w:r w:rsidRPr="00F61C6B">
              <w:rPr>
                <w:sz w:val="28"/>
                <w:szCs w:val="28"/>
                <w:lang w:val="ru-RU" w:eastAsia="ru-RU"/>
              </w:rPr>
              <w:t>.Б</w:t>
            </w:r>
            <w:proofErr w:type="gramEnd"/>
            <w:r w:rsidRPr="00F61C6B">
              <w:rPr>
                <w:sz w:val="28"/>
                <w:szCs w:val="28"/>
                <w:lang w:val="ru-RU" w:eastAsia="ru-RU"/>
              </w:rPr>
              <w:t>обровиця</w:t>
            </w:r>
            <w:proofErr w:type="spellEnd"/>
          </w:p>
        </w:tc>
        <w:tc>
          <w:tcPr>
            <w:tcW w:w="3285" w:type="dxa"/>
            <w:shd w:val="clear" w:color="auto" w:fill="auto"/>
          </w:tcPr>
          <w:p w:rsidR="00B831E6" w:rsidRPr="0008641D" w:rsidRDefault="00B831E6" w:rsidP="00DE6133">
            <w:pPr>
              <w:pStyle w:val="af"/>
              <w:jc w:val="left"/>
              <w:rPr>
                <w:sz w:val="28"/>
                <w:szCs w:val="28"/>
                <w:lang w:eastAsia="ru-RU"/>
              </w:rPr>
            </w:pPr>
            <w:r w:rsidRPr="0008641D">
              <w:rPr>
                <w:sz w:val="28"/>
                <w:szCs w:val="28"/>
                <w:lang w:eastAsia="ru-RU"/>
              </w:rPr>
              <w:t xml:space="preserve">   </w:t>
            </w:r>
            <w:r>
              <w:rPr>
                <w:sz w:val="28"/>
                <w:szCs w:val="28"/>
                <w:lang w:eastAsia="ru-RU"/>
              </w:rPr>
              <w:t xml:space="preserve">           </w:t>
            </w:r>
            <w:r w:rsidR="006E6EC3">
              <w:rPr>
                <w:sz w:val="28"/>
                <w:szCs w:val="28"/>
                <w:lang w:eastAsia="ru-RU"/>
              </w:rPr>
              <w:t xml:space="preserve">        </w:t>
            </w:r>
            <w:r>
              <w:rPr>
                <w:sz w:val="28"/>
                <w:szCs w:val="28"/>
                <w:lang w:eastAsia="ru-RU"/>
              </w:rPr>
              <w:t xml:space="preserve">    </w:t>
            </w:r>
            <w:r w:rsidR="006E6EC3">
              <w:rPr>
                <w:sz w:val="28"/>
                <w:szCs w:val="28"/>
              </w:rPr>
              <w:t>№ проект</w:t>
            </w:r>
            <w:r>
              <w:rPr>
                <w:sz w:val="28"/>
                <w:szCs w:val="28"/>
                <w:lang w:eastAsia="ru-RU"/>
              </w:rPr>
              <w:t xml:space="preserve">      </w:t>
            </w:r>
            <w:r w:rsidRPr="0008641D">
              <w:rPr>
                <w:sz w:val="28"/>
                <w:szCs w:val="28"/>
                <w:lang w:eastAsia="ru-RU"/>
              </w:rPr>
              <w:t xml:space="preserve"> </w:t>
            </w:r>
          </w:p>
        </w:tc>
      </w:tr>
      <w:tr w:rsidR="00B831E6" w:rsidTr="00B831E6">
        <w:trPr>
          <w:trHeight w:val="219"/>
        </w:trPr>
        <w:tc>
          <w:tcPr>
            <w:tcW w:w="3284" w:type="dxa"/>
            <w:shd w:val="clear" w:color="auto" w:fill="auto"/>
          </w:tcPr>
          <w:p w:rsidR="00B831E6" w:rsidRDefault="00B831E6" w:rsidP="00DE6133">
            <w:pPr>
              <w:pStyle w:val="af"/>
              <w:rPr>
                <w:sz w:val="28"/>
                <w:szCs w:val="28"/>
                <w:lang w:eastAsia="ru-RU"/>
              </w:rPr>
            </w:pPr>
          </w:p>
        </w:tc>
        <w:tc>
          <w:tcPr>
            <w:tcW w:w="3285" w:type="dxa"/>
            <w:gridSpan w:val="2"/>
            <w:shd w:val="clear" w:color="auto" w:fill="auto"/>
          </w:tcPr>
          <w:p w:rsidR="00B831E6" w:rsidRPr="00F61C6B" w:rsidRDefault="00B831E6" w:rsidP="00DE6133">
            <w:pPr>
              <w:pStyle w:val="af"/>
              <w:rPr>
                <w:sz w:val="28"/>
                <w:szCs w:val="28"/>
                <w:lang w:val="ru-RU" w:eastAsia="ru-RU"/>
              </w:rPr>
            </w:pPr>
          </w:p>
        </w:tc>
        <w:tc>
          <w:tcPr>
            <w:tcW w:w="3285" w:type="dxa"/>
            <w:shd w:val="clear" w:color="auto" w:fill="auto"/>
          </w:tcPr>
          <w:p w:rsidR="00B831E6" w:rsidRPr="0008641D" w:rsidRDefault="00B831E6" w:rsidP="00DE6133">
            <w:pPr>
              <w:pStyle w:val="af"/>
              <w:rPr>
                <w:sz w:val="28"/>
                <w:szCs w:val="28"/>
                <w:lang w:eastAsia="ru-RU"/>
              </w:rPr>
            </w:pPr>
          </w:p>
        </w:tc>
      </w:tr>
      <w:tr w:rsidR="00B831E6" w:rsidTr="00B831E6">
        <w:trPr>
          <w:trHeight w:val="219"/>
        </w:trPr>
        <w:tc>
          <w:tcPr>
            <w:tcW w:w="4927" w:type="dxa"/>
            <w:gridSpan w:val="2"/>
            <w:shd w:val="clear" w:color="auto" w:fill="auto"/>
          </w:tcPr>
          <w:p w:rsidR="006E6EC3" w:rsidRDefault="006E6EC3" w:rsidP="00DE6133">
            <w:pPr>
              <w:pStyle w:val="af"/>
              <w:jc w:val="left"/>
              <w:rPr>
                <w:iCs/>
                <w:sz w:val="28"/>
                <w:szCs w:val="28"/>
                <w:lang w:eastAsia="ru-RU"/>
              </w:rPr>
            </w:pPr>
            <w:r>
              <w:rPr>
                <w:iCs/>
                <w:sz w:val="28"/>
                <w:szCs w:val="28"/>
                <w:lang w:eastAsia="ru-RU"/>
              </w:rPr>
              <w:t xml:space="preserve">Про внесення змін до рішення </w:t>
            </w:r>
          </w:p>
          <w:p w:rsidR="00B831E6" w:rsidRPr="0008641D" w:rsidRDefault="001D5C82" w:rsidP="00DE6133">
            <w:pPr>
              <w:pStyle w:val="af"/>
              <w:jc w:val="left"/>
              <w:rPr>
                <w:sz w:val="28"/>
                <w:szCs w:val="28"/>
                <w:lang w:eastAsia="ru-RU"/>
              </w:rPr>
            </w:pPr>
            <w:r>
              <w:rPr>
                <w:iCs/>
                <w:sz w:val="28"/>
                <w:szCs w:val="28"/>
                <w:lang w:eastAsia="ru-RU"/>
              </w:rPr>
              <w:t>м</w:t>
            </w:r>
            <w:r w:rsidR="006E6EC3">
              <w:rPr>
                <w:iCs/>
                <w:sz w:val="28"/>
                <w:szCs w:val="28"/>
                <w:lang w:eastAsia="ru-RU"/>
              </w:rPr>
              <w:t xml:space="preserve">іської ради від 25.06.2019 № </w:t>
            </w:r>
            <w:r>
              <w:rPr>
                <w:sz w:val="28"/>
                <w:szCs w:val="28"/>
              </w:rPr>
              <w:t xml:space="preserve">818-20/VII </w:t>
            </w:r>
            <w:r w:rsidR="006E6EC3">
              <w:rPr>
                <w:iCs/>
                <w:sz w:val="28"/>
                <w:szCs w:val="28"/>
                <w:lang w:eastAsia="ru-RU"/>
              </w:rPr>
              <w:t>«</w:t>
            </w:r>
            <w:r w:rsidR="00B831E6" w:rsidRPr="002F2765">
              <w:rPr>
                <w:iCs/>
                <w:sz w:val="28"/>
                <w:szCs w:val="28"/>
                <w:lang w:eastAsia="ru-RU"/>
              </w:rPr>
              <w:t xml:space="preserve">Про </w:t>
            </w:r>
            <w:r w:rsidR="00B831E6">
              <w:rPr>
                <w:iCs/>
                <w:sz w:val="28"/>
                <w:szCs w:val="28"/>
                <w:lang w:eastAsia="ru-RU"/>
              </w:rPr>
              <w:t xml:space="preserve">встановлення місцевих податків і зборів на підвідомчій території </w:t>
            </w:r>
            <w:proofErr w:type="spellStart"/>
            <w:r w:rsidR="00B831E6">
              <w:rPr>
                <w:iCs/>
                <w:sz w:val="28"/>
                <w:szCs w:val="28"/>
                <w:lang w:eastAsia="ru-RU"/>
              </w:rPr>
              <w:t>Бобровицької</w:t>
            </w:r>
            <w:proofErr w:type="spellEnd"/>
            <w:r w:rsidR="00B831E6">
              <w:rPr>
                <w:iCs/>
                <w:sz w:val="28"/>
                <w:szCs w:val="28"/>
                <w:lang w:eastAsia="ru-RU"/>
              </w:rPr>
              <w:t xml:space="preserve"> міської ради  на 2020 рік</w:t>
            </w:r>
            <w:r w:rsidR="006E6EC3">
              <w:rPr>
                <w:iCs/>
                <w:sz w:val="28"/>
                <w:szCs w:val="28"/>
                <w:lang w:eastAsia="ru-RU"/>
              </w:rPr>
              <w:t>»</w:t>
            </w:r>
          </w:p>
        </w:tc>
        <w:tc>
          <w:tcPr>
            <w:tcW w:w="4927" w:type="dxa"/>
            <w:gridSpan w:val="2"/>
            <w:shd w:val="clear" w:color="auto" w:fill="auto"/>
          </w:tcPr>
          <w:p w:rsidR="00B831E6" w:rsidRPr="0008641D" w:rsidRDefault="00B831E6" w:rsidP="00DE6133">
            <w:pPr>
              <w:pStyle w:val="af"/>
              <w:rPr>
                <w:sz w:val="28"/>
                <w:szCs w:val="28"/>
                <w:lang w:eastAsia="ru-RU"/>
              </w:rPr>
            </w:pPr>
          </w:p>
        </w:tc>
      </w:tr>
    </w:tbl>
    <w:p w:rsidR="00B831E6" w:rsidRDefault="00B831E6" w:rsidP="00B831E6">
      <w:pPr>
        <w:pStyle w:val="af"/>
        <w:ind w:firstLine="709"/>
        <w:jc w:val="both"/>
      </w:pPr>
    </w:p>
    <w:p w:rsidR="00B831E6" w:rsidRDefault="00B831E6" w:rsidP="00B831E6">
      <w:pPr>
        <w:pStyle w:val="af"/>
        <w:ind w:firstLine="709"/>
        <w:jc w:val="both"/>
        <w:rPr>
          <w:spacing w:val="-2"/>
          <w:sz w:val="28"/>
          <w:szCs w:val="28"/>
        </w:rPr>
      </w:pPr>
      <w:r w:rsidRPr="007B5D46">
        <w:rPr>
          <w:sz w:val="28"/>
          <w:szCs w:val="28"/>
        </w:rPr>
        <w:t>Відповідно до ст</w:t>
      </w:r>
      <w:r>
        <w:rPr>
          <w:sz w:val="28"/>
          <w:szCs w:val="28"/>
        </w:rPr>
        <w:t xml:space="preserve">атей </w:t>
      </w:r>
      <w:r w:rsidRPr="007B5D46">
        <w:rPr>
          <w:sz w:val="28"/>
          <w:szCs w:val="28"/>
        </w:rPr>
        <w:t>2</w:t>
      </w:r>
      <w:r>
        <w:rPr>
          <w:sz w:val="28"/>
          <w:szCs w:val="28"/>
        </w:rPr>
        <w:t>6, 69</w:t>
      </w:r>
      <w:r w:rsidRPr="007B5D46">
        <w:rPr>
          <w:sz w:val="28"/>
          <w:szCs w:val="28"/>
        </w:rPr>
        <w:t xml:space="preserve"> Закону України </w:t>
      </w:r>
      <w:r>
        <w:rPr>
          <w:sz w:val="28"/>
          <w:szCs w:val="28"/>
        </w:rPr>
        <w:t>«</w:t>
      </w:r>
      <w:r w:rsidRPr="007B5D46">
        <w:rPr>
          <w:sz w:val="28"/>
          <w:szCs w:val="28"/>
        </w:rPr>
        <w:t xml:space="preserve">Про місцеве самоврядування в </w:t>
      </w:r>
      <w:r w:rsidRPr="007B5D46">
        <w:rPr>
          <w:spacing w:val="-2"/>
          <w:sz w:val="28"/>
          <w:szCs w:val="28"/>
        </w:rPr>
        <w:t>Україні»</w:t>
      </w:r>
      <w:r>
        <w:rPr>
          <w:spacing w:val="-2"/>
          <w:sz w:val="28"/>
          <w:szCs w:val="28"/>
        </w:rPr>
        <w:t xml:space="preserve">, статті 10 та пункту 12.3 статті 12, </w:t>
      </w:r>
      <w:r>
        <w:rPr>
          <w:iCs/>
          <w:sz w:val="28"/>
          <w:szCs w:val="28"/>
        </w:rPr>
        <w:t xml:space="preserve">підпункту 266.4.2 пункту 266.4 статті 266 </w:t>
      </w:r>
      <w:r>
        <w:rPr>
          <w:spacing w:val="-2"/>
          <w:sz w:val="28"/>
          <w:szCs w:val="28"/>
        </w:rPr>
        <w:t>Податкового кодексу України, статті 64 Бюджетного кодексу України</w:t>
      </w:r>
      <w:r w:rsidR="006E6EC3">
        <w:rPr>
          <w:spacing w:val="-2"/>
          <w:sz w:val="28"/>
          <w:szCs w:val="28"/>
        </w:rPr>
        <w:t>, розглянувши клопотання</w:t>
      </w:r>
      <w:r w:rsidR="00AA522A">
        <w:rPr>
          <w:spacing w:val="-2"/>
          <w:sz w:val="28"/>
          <w:szCs w:val="28"/>
        </w:rPr>
        <w:t xml:space="preserve"> дирекції</w:t>
      </w:r>
      <w:r w:rsidR="006E6EC3">
        <w:rPr>
          <w:spacing w:val="-2"/>
          <w:sz w:val="28"/>
          <w:szCs w:val="28"/>
        </w:rPr>
        <w:t xml:space="preserve"> </w:t>
      </w:r>
      <w:proofErr w:type="spellStart"/>
      <w:r w:rsidR="006E6EC3">
        <w:rPr>
          <w:spacing w:val="-2"/>
          <w:sz w:val="28"/>
          <w:szCs w:val="28"/>
        </w:rPr>
        <w:t>ПрАТ</w:t>
      </w:r>
      <w:proofErr w:type="spellEnd"/>
      <w:r w:rsidR="006E6EC3">
        <w:rPr>
          <w:spacing w:val="-2"/>
          <w:sz w:val="28"/>
          <w:szCs w:val="28"/>
        </w:rPr>
        <w:t xml:space="preserve"> «</w:t>
      </w:r>
      <w:proofErr w:type="spellStart"/>
      <w:r w:rsidR="006E6EC3">
        <w:rPr>
          <w:spacing w:val="-2"/>
          <w:sz w:val="28"/>
          <w:szCs w:val="28"/>
        </w:rPr>
        <w:t>Бобровицьке</w:t>
      </w:r>
      <w:proofErr w:type="spellEnd"/>
      <w:r w:rsidR="006E6EC3">
        <w:rPr>
          <w:spacing w:val="-2"/>
          <w:sz w:val="28"/>
          <w:szCs w:val="28"/>
        </w:rPr>
        <w:t xml:space="preserve"> АТП-17449, з урахуванням обговорення на засіданні, </w:t>
      </w:r>
      <w:r w:rsidRPr="007B5D46">
        <w:rPr>
          <w:spacing w:val="-2"/>
          <w:sz w:val="28"/>
          <w:szCs w:val="28"/>
        </w:rPr>
        <w:t>міськ</w:t>
      </w:r>
      <w:r>
        <w:rPr>
          <w:spacing w:val="-2"/>
          <w:sz w:val="28"/>
          <w:szCs w:val="28"/>
        </w:rPr>
        <w:t>а</w:t>
      </w:r>
      <w:r w:rsidRPr="007B5D46">
        <w:rPr>
          <w:spacing w:val="-2"/>
          <w:sz w:val="28"/>
          <w:szCs w:val="28"/>
        </w:rPr>
        <w:t xml:space="preserve"> рад</w:t>
      </w:r>
      <w:r>
        <w:rPr>
          <w:spacing w:val="-2"/>
          <w:sz w:val="28"/>
          <w:szCs w:val="28"/>
        </w:rPr>
        <w:t>а</w:t>
      </w:r>
      <w:r w:rsidRPr="007B5D46">
        <w:rPr>
          <w:spacing w:val="-2"/>
          <w:sz w:val="28"/>
          <w:szCs w:val="28"/>
        </w:rPr>
        <w:t xml:space="preserve"> </w:t>
      </w:r>
      <w:r>
        <w:rPr>
          <w:spacing w:val="-2"/>
          <w:sz w:val="28"/>
          <w:szCs w:val="28"/>
        </w:rPr>
        <w:t xml:space="preserve"> </w:t>
      </w:r>
      <w:r w:rsidRPr="001D7648">
        <w:rPr>
          <w:b/>
          <w:spacing w:val="-2"/>
          <w:sz w:val="28"/>
          <w:szCs w:val="28"/>
        </w:rPr>
        <w:t>вирішила</w:t>
      </w:r>
      <w:r w:rsidRPr="007B5D46">
        <w:rPr>
          <w:spacing w:val="-2"/>
          <w:sz w:val="28"/>
          <w:szCs w:val="28"/>
        </w:rPr>
        <w:t>:</w:t>
      </w:r>
    </w:p>
    <w:p w:rsidR="00B831E6" w:rsidRDefault="00B831E6" w:rsidP="00B831E6">
      <w:pPr>
        <w:pStyle w:val="af"/>
        <w:ind w:firstLine="709"/>
        <w:jc w:val="both"/>
        <w:rPr>
          <w:spacing w:val="-2"/>
          <w:sz w:val="28"/>
          <w:szCs w:val="28"/>
        </w:rPr>
      </w:pPr>
    </w:p>
    <w:p w:rsidR="00B831E6" w:rsidRDefault="00B831E6" w:rsidP="006E6EC3">
      <w:pPr>
        <w:pStyle w:val="af"/>
        <w:ind w:firstLine="709"/>
        <w:jc w:val="both"/>
        <w:rPr>
          <w:iCs/>
          <w:sz w:val="28"/>
          <w:szCs w:val="28"/>
          <w:lang w:eastAsia="ru-RU"/>
        </w:rPr>
      </w:pPr>
      <w:r>
        <w:rPr>
          <w:spacing w:val="-2"/>
          <w:sz w:val="28"/>
          <w:szCs w:val="28"/>
        </w:rPr>
        <w:t>1.</w:t>
      </w:r>
      <w:r w:rsidR="001D5C82">
        <w:rPr>
          <w:spacing w:val="-2"/>
          <w:sz w:val="28"/>
          <w:szCs w:val="28"/>
        </w:rPr>
        <w:t xml:space="preserve">Внести зміни у додаток 1 (Ставки податку на нерухоме майно, відмінне від земельної ділянки) до рішення міської ради </w:t>
      </w:r>
      <w:r w:rsidR="001D5C82">
        <w:rPr>
          <w:iCs/>
          <w:sz w:val="28"/>
          <w:szCs w:val="28"/>
          <w:lang w:eastAsia="ru-RU"/>
        </w:rPr>
        <w:t xml:space="preserve">від 25.06.2019 № </w:t>
      </w:r>
      <w:r w:rsidR="001D5C82">
        <w:rPr>
          <w:sz w:val="28"/>
          <w:szCs w:val="28"/>
        </w:rPr>
        <w:t xml:space="preserve">818-20/VII      </w:t>
      </w:r>
      <w:r w:rsidR="001D5C82" w:rsidRPr="0008641D">
        <w:rPr>
          <w:sz w:val="28"/>
          <w:szCs w:val="28"/>
        </w:rPr>
        <w:t xml:space="preserve"> </w:t>
      </w:r>
      <w:r w:rsidR="001D5C82">
        <w:rPr>
          <w:iCs/>
          <w:sz w:val="28"/>
          <w:szCs w:val="28"/>
          <w:lang w:eastAsia="ru-RU"/>
        </w:rPr>
        <w:t>«</w:t>
      </w:r>
      <w:r w:rsidR="001D5C82" w:rsidRPr="002F2765">
        <w:rPr>
          <w:iCs/>
          <w:sz w:val="28"/>
          <w:szCs w:val="28"/>
          <w:lang w:eastAsia="ru-RU"/>
        </w:rPr>
        <w:t xml:space="preserve">Про </w:t>
      </w:r>
      <w:r w:rsidR="001D5C82">
        <w:rPr>
          <w:iCs/>
          <w:sz w:val="28"/>
          <w:szCs w:val="28"/>
          <w:lang w:eastAsia="ru-RU"/>
        </w:rPr>
        <w:t xml:space="preserve">встановлення місцевих податків і зборів на підвідомчій території </w:t>
      </w:r>
      <w:proofErr w:type="spellStart"/>
      <w:r w:rsidR="001D5C82">
        <w:rPr>
          <w:iCs/>
          <w:sz w:val="28"/>
          <w:szCs w:val="28"/>
          <w:lang w:eastAsia="ru-RU"/>
        </w:rPr>
        <w:t>Бобровицької</w:t>
      </w:r>
      <w:proofErr w:type="spellEnd"/>
      <w:r w:rsidR="001D5C82">
        <w:rPr>
          <w:iCs/>
          <w:sz w:val="28"/>
          <w:szCs w:val="28"/>
          <w:lang w:eastAsia="ru-RU"/>
        </w:rPr>
        <w:t xml:space="preserve"> міської ради  на 2020 рік», а саме: </w:t>
      </w:r>
    </w:p>
    <w:p w:rsidR="001D5C82" w:rsidRDefault="001D5C82" w:rsidP="006E6EC3">
      <w:pPr>
        <w:pStyle w:val="af"/>
        <w:ind w:firstLine="709"/>
        <w:jc w:val="both"/>
        <w:rPr>
          <w:iCs/>
          <w:sz w:val="28"/>
          <w:szCs w:val="28"/>
          <w:lang w:eastAsia="ru-RU"/>
        </w:rPr>
      </w:pPr>
      <w:r>
        <w:rPr>
          <w:iCs/>
          <w:sz w:val="28"/>
          <w:szCs w:val="28"/>
          <w:lang w:eastAsia="ru-RU"/>
        </w:rPr>
        <w:t xml:space="preserve">1.1. У підкод 1220.9 коду 1220, виклавши його в наступній редакції: </w:t>
      </w:r>
    </w:p>
    <w:tbl>
      <w:tblPr>
        <w:tblStyle w:val="a3"/>
        <w:tblW w:w="0" w:type="auto"/>
        <w:tblLook w:val="04A0" w:firstRow="1" w:lastRow="0" w:firstColumn="1" w:lastColumn="0" w:noHBand="0" w:noVBand="1"/>
      </w:tblPr>
      <w:tblGrid>
        <w:gridCol w:w="929"/>
        <w:gridCol w:w="3614"/>
        <w:gridCol w:w="885"/>
        <w:gridCol w:w="885"/>
        <w:gridCol w:w="885"/>
        <w:gridCol w:w="885"/>
        <w:gridCol w:w="885"/>
        <w:gridCol w:w="885"/>
      </w:tblGrid>
      <w:tr w:rsidR="0042431E" w:rsidRPr="0042431E" w:rsidTr="0042431E">
        <w:trPr>
          <w:trHeight w:val="381"/>
        </w:trPr>
        <w:tc>
          <w:tcPr>
            <w:tcW w:w="5440" w:type="dxa"/>
            <w:gridSpan w:val="2"/>
            <w:vMerge w:val="restart"/>
            <w:hideMark/>
          </w:tcPr>
          <w:p w:rsidR="0042431E" w:rsidRPr="0042431E" w:rsidRDefault="0042431E" w:rsidP="0042431E">
            <w:pPr>
              <w:pStyle w:val="af"/>
              <w:rPr>
                <w:iCs/>
                <w:lang w:eastAsia="ru-RU"/>
              </w:rPr>
            </w:pPr>
            <w:proofErr w:type="spellStart"/>
            <w:r w:rsidRPr="0042431E">
              <w:rPr>
                <w:iCs/>
                <w:lang w:val="en-US" w:eastAsia="ru-RU"/>
              </w:rPr>
              <w:t>Класифікація</w:t>
            </w:r>
            <w:proofErr w:type="spellEnd"/>
            <w:r w:rsidRPr="0042431E">
              <w:rPr>
                <w:iCs/>
                <w:lang w:val="en-US" w:eastAsia="ru-RU"/>
              </w:rPr>
              <w:t xml:space="preserve"> </w:t>
            </w:r>
            <w:proofErr w:type="spellStart"/>
            <w:r w:rsidRPr="0042431E">
              <w:rPr>
                <w:iCs/>
                <w:lang w:val="en-US" w:eastAsia="ru-RU"/>
              </w:rPr>
              <w:t>будівель</w:t>
            </w:r>
            <w:proofErr w:type="spellEnd"/>
            <w:r w:rsidRPr="0042431E">
              <w:rPr>
                <w:iCs/>
                <w:lang w:val="en-US" w:eastAsia="ru-RU"/>
              </w:rPr>
              <w:t xml:space="preserve"> </w:t>
            </w:r>
            <w:proofErr w:type="spellStart"/>
            <w:r w:rsidRPr="0042431E">
              <w:rPr>
                <w:iCs/>
                <w:lang w:val="en-US" w:eastAsia="ru-RU"/>
              </w:rPr>
              <w:t>та</w:t>
            </w:r>
            <w:proofErr w:type="spellEnd"/>
            <w:r w:rsidRPr="0042431E">
              <w:rPr>
                <w:iCs/>
                <w:lang w:val="en-US" w:eastAsia="ru-RU"/>
              </w:rPr>
              <w:t xml:space="preserve"> споруд</w:t>
            </w:r>
            <w:r w:rsidRPr="0042431E">
              <w:rPr>
                <w:iCs/>
                <w:vertAlign w:val="superscript"/>
                <w:lang w:val="en-US" w:eastAsia="ru-RU"/>
              </w:rPr>
              <w:t>2</w:t>
            </w:r>
          </w:p>
        </w:tc>
        <w:tc>
          <w:tcPr>
            <w:tcW w:w="5760" w:type="dxa"/>
            <w:gridSpan w:val="6"/>
            <w:hideMark/>
          </w:tcPr>
          <w:p w:rsidR="0042431E" w:rsidRPr="0042431E" w:rsidRDefault="0042431E" w:rsidP="0042431E">
            <w:pPr>
              <w:pStyle w:val="af"/>
              <w:ind w:firstLine="7"/>
              <w:rPr>
                <w:iCs/>
                <w:lang w:eastAsia="ru-RU"/>
              </w:rPr>
            </w:pPr>
            <w:r w:rsidRPr="0042431E">
              <w:rPr>
                <w:iCs/>
                <w:lang w:val="ru-RU" w:eastAsia="ru-RU"/>
              </w:rPr>
              <w:t>Ставки податку</w:t>
            </w:r>
            <w:r w:rsidRPr="0042431E">
              <w:rPr>
                <w:iCs/>
                <w:vertAlign w:val="superscript"/>
                <w:lang w:val="ru-RU" w:eastAsia="ru-RU"/>
              </w:rPr>
              <w:t>3</w:t>
            </w:r>
            <w:r w:rsidRPr="0042431E">
              <w:rPr>
                <w:iCs/>
                <w:lang w:val="ru-RU" w:eastAsia="ru-RU"/>
              </w:rPr>
              <w:t xml:space="preserve"> за 1 кв. метр</w:t>
            </w:r>
          </w:p>
        </w:tc>
      </w:tr>
      <w:tr w:rsidR="0042431E" w:rsidRPr="0042431E" w:rsidTr="0042431E">
        <w:trPr>
          <w:trHeight w:val="315"/>
        </w:trPr>
        <w:tc>
          <w:tcPr>
            <w:tcW w:w="5440" w:type="dxa"/>
            <w:gridSpan w:val="2"/>
            <w:vMerge/>
            <w:hideMark/>
          </w:tcPr>
          <w:p w:rsidR="0042431E" w:rsidRPr="0042431E" w:rsidRDefault="0042431E" w:rsidP="0042431E">
            <w:pPr>
              <w:pStyle w:val="af"/>
              <w:ind w:firstLine="709"/>
              <w:jc w:val="both"/>
              <w:rPr>
                <w:iCs/>
                <w:lang w:eastAsia="ru-RU"/>
              </w:rPr>
            </w:pPr>
          </w:p>
        </w:tc>
        <w:tc>
          <w:tcPr>
            <w:tcW w:w="5760" w:type="dxa"/>
            <w:gridSpan w:val="6"/>
            <w:hideMark/>
          </w:tcPr>
          <w:p w:rsidR="0042431E" w:rsidRPr="0042431E" w:rsidRDefault="0042431E" w:rsidP="0042431E">
            <w:pPr>
              <w:pStyle w:val="af"/>
              <w:ind w:firstLine="7"/>
              <w:jc w:val="both"/>
              <w:rPr>
                <w:iCs/>
                <w:lang w:eastAsia="ru-RU"/>
              </w:rPr>
            </w:pPr>
            <w:r w:rsidRPr="0042431E">
              <w:rPr>
                <w:iCs/>
                <w:lang w:eastAsia="ru-RU"/>
              </w:rPr>
              <w:t>(відсотків розміру мінімальної заробітної плати)</w:t>
            </w:r>
          </w:p>
        </w:tc>
      </w:tr>
      <w:tr w:rsidR="0042431E" w:rsidRPr="0042431E" w:rsidTr="0042431E">
        <w:trPr>
          <w:trHeight w:val="315"/>
        </w:trPr>
        <w:tc>
          <w:tcPr>
            <w:tcW w:w="960" w:type="dxa"/>
            <w:vMerge w:val="restart"/>
            <w:hideMark/>
          </w:tcPr>
          <w:p w:rsidR="0042431E" w:rsidRPr="0042431E" w:rsidRDefault="0042431E" w:rsidP="0042431E">
            <w:pPr>
              <w:pStyle w:val="af"/>
              <w:rPr>
                <w:iCs/>
                <w:lang w:eastAsia="ru-RU"/>
              </w:rPr>
            </w:pPr>
            <w:r w:rsidRPr="0042431E">
              <w:rPr>
                <w:iCs/>
                <w:lang w:val="en-US" w:eastAsia="ru-RU"/>
              </w:rPr>
              <w:t>код</w:t>
            </w:r>
            <w:r w:rsidRPr="0042431E">
              <w:rPr>
                <w:iCs/>
                <w:vertAlign w:val="superscript"/>
                <w:lang w:val="en-US" w:eastAsia="ru-RU"/>
              </w:rPr>
              <w:t>2</w:t>
            </w:r>
          </w:p>
        </w:tc>
        <w:tc>
          <w:tcPr>
            <w:tcW w:w="4480" w:type="dxa"/>
            <w:vMerge w:val="restart"/>
            <w:hideMark/>
          </w:tcPr>
          <w:p w:rsidR="0042431E" w:rsidRPr="0042431E" w:rsidRDefault="0042431E" w:rsidP="0042431E">
            <w:pPr>
              <w:pStyle w:val="af"/>
              <w:rPr>
                <w:iCs/>
                <w:lang w:eastAsia="ru-RU"/>
              </w:rPr>
            </w:pPr>
            <w:r w:rsidRPr="0042431E">
              <w:rPr>
                <w:iCs/>
                <w:lang w:val="en-US" w:eastAsia="ru-RU"/>
              </w:rPr>
              <w:t>найменування</w:t>
            </w:r>
            <w:r w:rsidRPr="0042431E">
              <w:rPr>
                <w:iCs/>
                <w:vertAlign w:val="superscript"/>
                <w:lang w:val="en-US" w:eastAsia="ru-RU"/>
              </w:rPr>
              <w:t>2</w:t>
            </w:r>
          </w:p>
        </w:tc>
        <w:tc>
          <w:tcPr>
            <w:tcW w:w="2880" w:type="dxa"/>
            <w:gridSpan w:val="3"/>
            <w:hideMark/>
          </w:tcPr>
          <w:p w:rsidR="0042431E" w:rsidRPr="0042431E" w:rsidRDefault="0042431E" w:rsidP="0042431E">
            <w:pPr>
              <w:pStyle w:val="af"/>
              <w:ind w:firstLine="7"/>
              <w:jc w:val="both"/>
              <w:rPr>
                <w:iCs/>
                <w:lang w:eastAsia="ru-RU"/>
              </w:rPr>
            </w:pPr>
            <w:proofErr w:type="spellStart"/>
            <w:r w:rsidRPr="0042431E">
              <w:rPr>
                <w:iCs/>
                <w:lang w:val="en-US" w:eastAsia="ru-RU"/>
              </w:rPr>
              <w:t>для</w:t>
            </w:r>
            <w:proofErr w:type="spellEnd"/>
            <w:r w:rsidRPr="0042431E">
              <w:rPr>
                <w:iCs/>
                <w:lang w:val="en-US" w:eastAsia="ru-RU"/>
              </w:rPr>
              <w:t xml:space="preserve"> </w:t>
            </w:r>
            <w:proofErr w:type="spellStart"/>
            <w:r w:rsidRPr="0042431E">
              <w:rPr>
                <w:iCs/>
                <w:lang w:val="en-US" w:eastAsia="ru-RU"/>
              </w:rPr>
              <w:t>юридичних</w:t>
            </w:r>
            <w:proofErr w:type="spellEnd"/>
            <w:r w:rsidRPr="0042431E">
              <w:rPr>
                <w:iCs/>
                <w:lang w:val="en-US" w:eastAsia="ru-RU"/>
              </w:rPr>
              <w:t xml:space="preserve"> </w:t>
            </w:r>
            <w:proofErr w:type="spellStart"/>
            <w:r w:rsidRPr="0042431E">
              <w:rPr>
                <w:iCs/>
                <w:lang w:val="en-US" w:eastAsia="ru-RU"/>
              </w:rPr>
              <w:t>осіб</w:t>
            </w:r>
            <w:proofErr w:type="spellEnd"/>
          </w:p>
        </w:tc>
        <w:tc>
          <w:tcPr>
            <w:tcW w:w="2880" w:type="dxa"/>
            <w:gridSpan w:val="3"/>
            <w:hideMark/>
          </w:tcPr>
          <w:p w:rsidR="0042431E" w:rsidRPr="0042431E" w:rsidRDefault="0042431E" w:rsidP="0042431E">
            <w:pPr>
              <w:pStyle w:val="af"/>
              <w:ind w:firstLine="7"/>
              <w:jc w:val="both"/>
              <w:rPr>
                <w:iCs/>
                <w:lang w:eastAsia="ru-RU"/>
              </w:rPr>
            </w:pPr>
            <w:proofErr w:type="spellStart"/>
            <w:r w:rsidRPr="0042431E">
              <w:rPr>
                <w:iCs/>
                <w:lang w:val="en-US" w:eastAsia="ru-RU"/>
              </w:rPr>
              <w:t>для</w:t>
            </w:r>
            <w:proofErr w:type="spellEnd"/>
            <w:r w:rsidRPr="0042431E">
              <w:rPr>
                <w:iCs/>
                <w:lang w:val="en-US" w:eastAsia="ru-RU"/>
              </w:rPr>
              <w:t xml:space="preserve"> </w:t>
            </w:r>
            <w:proofErr w:type="spellStart"/>
            <w:r w:rsidRPr="0042431E">
              <w:rPr>
                <w:iCs/>
                <w:lang w:val="en-US" w:eastAsia="ru-RU"/>
              </w:rPr>
              <w:t>фізичних</w:t>
            </w:r>
            <w:proofErr w:type="spellEnd"/>
            <w:r w:rsidRPr="0042431E">
              <w:rPr>
                <w:iCs/>
                <w:lang w:val="en-US" w:eastAsia="ru-RU"/>
              </w:rPr>
              <w:t xml:space="preserve"> </w:t>
            </w:r>
            <w:proofErr w:type="spellStart"/>
            <w:r w:rsidRPr="0042431E">
              <w:rPr>
                <w:iCs/>
                <w:lang w:val="en-US" w:eastAsia="ru-RU"/>
              </w:rPr>
              <w:t>осіб</w:t>
            </w:r>
            <w:proofErr w:type="spellEnd"/>
          </w:p>
        </w:tc>
      </w:tr>
      <w:tr w:rsidR="0042431E" w:rsidRPr="0042431E" w:rsidTr="0042431E">
        <w:trPr>
          <w:trHeight w:val="375"/>
        </w:trPr>
        <w:tc>
          <w:tcPr>
            <w:tcW w:w="960" w:type="dxa"/>
            <w:vMerge/>
            <w:hideMark/>
          </w:tcPr>
          <w:p w:rsidR="0042431E" w:rsidRPr="0042431E" w:rsidRDefault="0042431E" w:rsidP="0042431E">
            <w:pPr>
              <w:pStyle w:val="af"/>
              <w:rPr>
                <w:iCs/>
                <w:lang w:eastAsia="ru-RU"/>
              </w:rPr>
            </w:pPr>
          </w:p>
        </w:tc>
        <w:tc>
          <w:tcPr>
            <w:tcW w:w="4480" w:type="dxa"/>
            <w:vMerge/>
            <w:hideMark/>
          </w:tcPr>
          <w:p w:rsidR="0042431E" w:rsidRPr="0042431E" w:rsidRDefault="0042431E" w:rsidP="0042431E">
            <w:pPr>
              <w:pStyle w:val="af"/>
              <w:rPr>
                <w:iCs/>
                <w:lang w:eastAsia="ru-RU"/>
              </w:rPr>
            </w:pPr>
          </w:p>
        </w:tc>
        <w:tc>
          <w:tcPr>
            <w:tcW w:w="960" w:type="dxa"/>
            <w:hideMark/>
          </w:tcPr>
          <w:p w:rsidR="0042431E" w:rsidRPr="0042431E" w:rsidRDefault="0042431E" w:rsidP="0042431E">
            <w:pPr>
              <w:pStyle w:val="af"/>
              <w:ind w:firstLine="7"/>
              <w:rPr>
                <w:iCs/>
                <w:lang w:eastAsia="ru-RU"/>
              </w:rPr>
            </w:pPr>
            <w:r w:rsidRPr="0042431E">
              <w:rPr>
                <w:iCs/>
                <w:lang w:val="en-US" w:eastAsia="ru-RU"/>
              </w:rPr>
              <w:t>1 зона</w:t>
            </w:r>
            <w:r w:rsidRPr="0042431E">
              <w:rPr>
                <w:iCs/>
                <w:vertAlign w:val="superscript"/>
                <w:lang w:val="en-US" w:eastAsia="ru-RU"/>
              </w:rPr>
              <w:t>4</w:t>
            </w:r>
          </w:p>
        </w:tc>
        <w:tc>
          <w:tcPr>
            <w:tcW w:w="960" w:type="dxa"/>
            <w:hideMark/>
          </w:tcPr>
          <w:p w:rsidR="0042431E" w:rsidRPr="0042431E" w:rsidRDefault="0042431E" w:rsidP="0042431E">
            <w:pPr>
              <w:pStyle w:val="af"/>
              <w:ind w:firstLine="7"/>
              <w:rPr>
                <w:iCs/>
                <w:lang w:eastAsia="ru-RU"/>
              </w:rPr>
            </w:pPr>
            <w:r w:rsidRPr="0042431E">
              <w:rPr>
                <w:iCs/>
                <w:lang w:val="en-US" w:eastAsia="ru-RU"/>
              </w:rPr>
              <w:t>2 зона</w:t>
            </w:r>
            <w:r w:rsidRPr="0042431E">
              <w:rPr>
                <w:iCs/>
                <w:vertAlign w:val="superscript"/>
                <w:lang w:val="en-US" w:eastAsia="ru-RU"/>
              </w:rPr>
              <w:t>4</w:t>
            </w:r>
          </w:p>
        </w:tc>
        <w:tc>
          <w:tcPr>
            <w:tcW w:w="960" w:type="dxa"/>
            <w:hideMark/>
          </w:tcPr>
          <w:p w:rsidR="0042431E" w:rsidRPr="0042431E" w:rsidRDefault="0042431E" w:rsidP="0042431E">
            <w:pPr>
              <w:pStyle w:val="af"/>
              <w:ind w:firstLine="7"/>
              <w:rPr>
                <w:iCs/>
                <w:lang w:eastAsia="ru-RU"/>
              </w:rPr>
            </w:pPr>
            <w:r w:rsidRPr="0042431E">
              <w:rPr>
                <w:iCs/>
                <w:lang w:val="en-US" w:eastAsia="ru-RU"/>
              </w:rPr>
              <w:t>3 зона</w:t>
            </w:r>
            <w:r w:rsidRPr="0042431E">
              <w:rPr>
                <w:iCs/>
                <w:vertAlign w:val="superscript"/>
                <w:lang w:val="en-US" w:eastAsia="ru-RU"/>
              </w:rPr>
              <w:t>4</w:t>
            </w:r>
          </w:p>
        </w:tc>
        <w:tc>
          <w:tcPr>
            <w:tcW w:w="960" w:type="dxa"/>
            <w:hideMark/>
          </w:tcPr>
          <w:p w:rsidR="0042431E" w:rsidRPr="0042431E" w:rsidRDefault="0042431E" w:rsidP="0042431E">
            <w:pPr>
              <w:pStyle w:val="af"/>
              <w:ind w:firstLine="7"/>
              <w:rPr>
                <w:iCs/>
                <w:lang w:eastAsia="ru-RU"/>
              </w:rPr>
            </w:pPr>
            <w:r w:rsidRPr="0042431E">
              <w:rPr>
                <w:iCs/>
                <w:lang w:val="en-US" w:eastAsia="ru-RU"/>
              </w:rPr>
              <w:t>1 зона</w:t>
            </w:r>
            <w:r w:rsidRPr="0042431E">
              <w:rPr>
                <w:iCs/>
                <w:vertAlign w:val="superscript"/>
                <w:lang w:val="en-US" w:eastAsia="ru-RU"/>
              </w:rPr>
              <w:t>4</w:t>
            </w:r>
          </w:p>
        </w:tc>
        <w:tc>
          <w:tcPr>
            <w:tcW w:w="960" w:type="dxa"/>
            <w:hideMark/>
          </w:tcPr>
          <w:p w:rsidR="0042431E" w:rsidRPr="0042431E" w:rsidRDefault="0042431E" w:rsidP="0042431E">
            <w:pPr>
              <w:pStyle w:val="af"/>
              <w:ind w:firstLine="7"/>
              <w:rPr>
                <w:iCs/>
                <w:lang w:eastAsia="ru-RU"/>
              </w:rPr>
            </w:pPr>
            <w:r w:rsidRPr="0042431E">
              <w:rPr>
                <w:iCs/>
                <w:lang w:val="en-US" w:eastAsia="ru-RU"/>
              </w:rPr>
              <w:t>2 зона</w:t>
            </w:r>
            <w:r w:rsidRPr="0042431E">
              <w:rPr>
                <w:iCs/>
                <w:vertAlign w:val="superscript"/>
                <w:lang w:val="en-US" w:eastAsia="ru-RU"/>
              </w:rPr>
              <w:t>4</w:t>
            </w:r>
          </w:p>
        </w:tc>
        <w:tc>
          <w:tcPr>
            <w:tcW w:w="960" w:type="dxa"/>
            <w:hideMark/>
          </w:tcPr>
          <w:p w:rsidR="0042431E" w:rsidRPr="0042431E" w:rsidRDefault="0042431E" w:rsidP="0042431E">
            <w:pPr>
              <w:pStyle w:val="af"/>
              <w:ind w:firstLine="7"/>
              <w:rPr>
                <w:iCs/>
                <w:lang w:eastAsia="ru-RU"/>
              </w:rPr>
            </w:pPr>
            <w:r w:rsidRPr="0042431E">
              <w:rPr>
                <w:iCs/>
                <w:lang w:val="en-US" w:eastAsia="ru-RU"/>
              </w:rPr>
              <w:t>3 зона</w:t>
            </w:r>
            <w:r w:rsidRPr="0042431E">
              <w:rPr>
                <w:iCs/>
                <w:vertAlign w:val="superscript"/>
                <w:lang w:val="en-US" w:eastAsia="ru-RU"/>
              </w:rPr>
              <w:t>4</w:t>
            </w:r>
          </w:p>
        </w:tc>
      </w:tr>
      <w:tr w:rsidR="0042431E" w:rsidRPr="0042431E" w:rsidTr="0042431E">
        <w:trPr>
          <w:trHeight w:val="630"/>
        </w:trPr>
        <w:tc>
          <w:tcPr>
            <w:tcW w:w="960" w:type="dxa"/>
            <w:hideMark/>
          </w:tcPr>
          <w:p w:rsidR="0042431E" w:rsidRPr="0042431E" w:rsidRDefault="0042431E" w:rsidP="0042431E">
            <w:pPr>
              <w:pStyle w:val="af"/>
              <w:rPr>
                <w:iCs/>
                <w:lang w:eastAsia="ru-RU"/>
              </w:rPr>
            </w:pPr>
            <w:r w:rsidRPr="0042431E">
              <w:rPr>
                <w:iCs/>
                <w:lang w:val="en-US" w:eastAsia="ru-RU"/>
              </w:rPr>
              <w:t>1220.9</w:t>
            </w:r>
          </w:p>
        </w:tc>
        <w:tc>
          <w:tcPr>
            <w:tcW w:w="4480" w:type="dxa"/>
            <w:hideMark/>
          </w:tcPr>
          <w:p w:rsidR="0042431E" w:rsidRPr="0042431E" w:rsidRDefault="0042431E" w:rsidP="0042431E">
            <w:pPr>
              <w:pStyle w:val="af"/>
              <w:rPr>
                <w:iCs/>
                <w:lang w:eastAsia="ru-RU"/>
              </w:rPr>
            </w:pPr>
            <w:r w:rsidRPr="0042431E">
              <w:rPr>
                <w:iCs/>
                <w:lang w:eastAsia="ru-RU"/>
              </w:rPr>
              <w:t>Будівлі для конторських та адміністративних  цілей інші</w:t>
            </w:r>
          </w:p>
        </w:tc>
        <w:tc>
          <w:tcPr>
            <w:tcW w:w="960" w:type="dxa"/>
            <w:hideMark/>
          </w:tcPr>
          <w:p w:rsidR="0042431E" w:rsidRPr="0042431E" w:rsidRDefault="00AA522A" w:rsidP="0042431E">
            <w:pPr>
              <w:pStyle w:val="af"/>
              <w:ind w:firstLine="7"/>
              <w:rPr>
                <w:iCs/>
                <w:lang w:eastAsia="ru-RU"/>
              </w:rPr>
            </w:pPr>
            <w:r>
              <w:rPr>
                <w:iCs/>
                <w:lang w:eastAsia="ru-RU"/>
              </w:rPr>
              <w:t>0,5</w:t>
            </w:r>
          </w:p>
        </w:tc>
        <w:tc>
          <w:tcPr>
            <w:tcW w:w="960" w:type="dxa"/>
            <w:hideMark/>
          </w:tcPr>
          <w:p w:rsidR="0042431E" w:rsidRPr="0042431E" w:rsidRDefault="0042431E" w:rsidP="0042431E">
            <w:pPr>
              <w:pStyle w:val="af"/>
              <w:ind w:firstLine="7"/>
              <w:rPr>
                <w:iCs/>
                <w:lang w:eastAsia="ru-RU"/>
              </w:rPr>
            </w:pPr>
          </w:p>
        </w:tc>
        <w:tc>
          <w:tcPr>
            <w:tcW w:w="960" w:type="dxa"/>
            <w:hideMark/>
          </w:tcPr>
          <w:p w:rsidR="0042431E" w:rsidRPr="0042431E" w:rsidRDefault="0042431E" w:rsidP="0042431E">
            <w:pPr>
              <w:pStyle w:val="af"/>
              <w:ind w:firstLine="7"/>
              <w:rPr>
                <w:iCs/>
                <w:lang w:eastAsia="ru-RU"/>
              </w:rPr>
            </w:pPr>
          </w:p>
        </w:tc>
        <w:tc>
          <w:tcPr>
            <w:tcW w:w="960" w:type="dxa"/>
            <w:hideMark/>
          </w:tcPr>
          <w:p w:rsidR="0042431E" w:rsidRPr="0042431E" w:rsidRDefault="00AA522A" w:rsidP="0042431E">
            <w:pPr>
              <w:pStyle w:val="af"/>
              <w:ind w:firstLine="7"/>
              <w:rPr>
                <w:iCs/>
                <w:lang w:eastAsia="ru-RU"/>
              </w:rPr>
            </w:pPr>
            <w:r>
              <w:rPr>
                <w:iCs/>
                <w:lang w:eastAsia="ru-RU"/>
              </w:rPr>
              <w:t>0,5</w:t>
            </w:r>
          </w:p>
        </w:tc>
        <w:tc>
          <w:tcPr>
            <w:tcW w:w="960" w:type="dxa"/>
            <w:hideMark/>
          </w:tcPr>
          <w:p w:rsidR="0042431E" w:rsidRPr="0042431E" w:rsidRDefault="0042431E" w:rsidP="0042431E">
            <w:pPr>
              <w:pStyle w:val="af"/>
              <w:ind w:firstLine="7"/>
              <w:rPr>
                <w:iCs/>
                <w:lang w:eastAsia="ru-RU"/>
              </w:rPr>
            </w:pPr>
          </w:p>
        </w:tc>
        <w:tc>
          <w:tcPr>
            <w:tcW w:w="960" w:type="dxa"/>
            <w:hideMark/>
          </w:tcPr>
          <w:p w:rsidR="0042431E" w:rsidRPr="0042431E" w:rsidRDefault="0042431E" w:rsidP="0042431E">
            <w:pPr>
              <w:pStyle w:val="af"/>
              <w:ind w:firstLine="7"/>
              <w:rPr>
                <w:iCs/>
                <w:lang w:eastAsia="ru-RU"/>
              </w:rPr>
            </w:pPr>
          </w:p>
        </w:tc>
      </w:tr>
    </w:tbl>
    <w:p w:rsidR="0042431E" w:rsidRDefault="0042431E" w:rsidP="0042431E">
      <w:pPr>
        <w:pStyle w:val="af"/>
        <w:ind w:firstLine="709"/>
        <w:jc w:val="both"/>
        <w:rPr>
          <w:iCs/>
          <w:sz w:val="28"/>
          <w:szCs w:val="28"/>
          <w:lang w:eastAsia="ru-RU"/>
        </w:rPr>
      </w:pPr>
    </w:p>
    <w:p w:rsidR="0042431E" w:rsidRDefault="0042431E" w:rsidP="006E6EC3">
      <w:pPr>
        <w:pStyle w:val="af"/>
        <w:ind w:firstLine="709"/>
        <w:jc w:val="both"/>
        <w:rPr>
          <w:iCs/>
          <w:sz w:val="28"/>
          <w:szCs w:val="28"/>
          <w:lang w:eastAsia="ru-RU"/>
        </w:rPr>
      </w:pPr>
    </w:p>
    <w:p w:rsidR="0042431E" w:rsidRDefault="0042431E" w:rsidP="0042431E">
      <w:pPr>
        <w:pStyle w:val="af"/>
        <w:jc w:val="both"/>
        <w:rPr>
          <w:iCs/>
          <w:sz w:val="28"/>
          <w:szCs w:val="28"/>
          <w:lang w:eastAsia="ru-RU"/>
        </w:rPr>
      </w:pPr>
      <w:r w:rsidRPr="001C7BD9">
        <w:rPr>
          <w:noProof/>
          <w:sz w:val="28"/>
          <w:szCs w:val="28"/>
          <w:lang w:val="ru-RU"/>
        </w:rPr>
        <w:t>1.2.</w:t>
      </w:r>
      <w:r>
        <w:rPr>
          <w:iCs/>
          <w:sz w:val="28"/>
          <w:szCs w:val="28"/>
          <w:lang w:eastAsia="ru-RU"/>
        </w:rPr>
        <w:t xml:space="preserve"> </w:t>
      </w:r>
      <w:r w:rsidR="00AA522A">
        <w:rPr>
          <w:iCs/>
          <w:sz w:val="28"/>
          <w:szCs w:val="28"/>
          <w:lang w:eastAsia="ru-RU"/>
        </w:rPr>
        <w:t>У підкод 1242.1 коду 1241</w:t>
      </w:r>
      <w:r>
        <w:rPr>
          <w:iCs/>
          <w:sz w:val="28"/>
          <w:szCs w:val="28"/>
          <w:lang w:eastAsia="ru-RU"/>
        </w:rPr>
        <w:t xml:space="preserve">, виклавши його в наступній редакції: </w:t>
      </w:r>
    </w:p>
    <w:tbl>
      <w:tblPr>
        <w:tblStyle w:val="a3"/>
        <w:tblW w:w="0" w:type="auto"/>
        <w:tblLook w:val="04A0" w:firstRow="1" w:lastRow="0" w:firstColumn="1" w:lastColumn="0" w:noHBand="0" w:noVBand="1"/>
      </w:tblPr>
      <w:tblGrid>
        <w:gridCol w:w="931"/>
        <w:gridCol w:w="3582"/>
        <w:gridCol w:w="890"/>
        <w:gridCol w:w="890"/>
        <w:gridCol w:w="890"/>
        <w:gridCol w:w="890"/>
        <w:gridCol w:w="890"/>
        <w:gridCol w:w="890"/>
      </w:tblGrid>
      <w:tr w:rsidR="00AA522A" w:rsidRPr="0042431E" w:rsidTr="00DE6133">
        <w:trPr>
          <w:trHeight w:val="381"/>
        </w:trPr>
        <w:tc>
          <w:tcPr>
            <w:tcW w:w="5440" w:type="dxa"/>
            <w:gridSpan w:val="2"/>
            <w:vMerge w:val="restart"/>
            <w:hideMark/>
          </w:tcPr>
          <w:p w:rsidR="0042431E" w:rsidRPr="0042431E" w:rsidRDefault="0042431E" w:rsidP="00DE6133">
            <w:pPr>
              <w:pStyle w:val="af"/>
              <w:rPr>
                <w:iCs/>
                <w:lang w:eastAsia="ru-RU"/>
              </w:rPr>
            </w:pPr>
            <w:proofErr w:type="spellStart"/>
            <w:r w:rsidRPr="00AA522A">
              <w:rPr>
                <w:iCs/>
                <w:lang w:val="ru-RU" w:eastAsia="ru-RU"/>
              </w:rPr>
              <w:t>Класифікація</w:t>
            </w:r>
            <w:proofErr w:type="spellEnd"/>
            <w:r w:rsidRPr="00AA522A">
              <w:rPr>
                <w:iCs/>
                <w:lang w:val="ru-RU" w:eastAsia="ru-RU"/>
              </w:rPr>
              <w:t xml:space="preserve"> </w:t>
            </w:r>
            <w:proofErr w:type="spellStart"/>
            <w:r w:rsidRPr="00AA522A">
              <w:rPr>
                <w:iCs/>
                <w:lang w:val="ru-RU" w:eastAsia="ru-RU"/>
              </w:rPr>
              <w:t>будівель</w:t>
            </w:r>
            <w:proofErr w:type="spellEnd"/>
            <w:r w:rsidRPr="00AA522A">
              <w:rPr>
                <w:iCs/>
                <w:lang w:val="ru-RU" w:eastAsia="ru-RU"/>
              </w:rPr>
              <w:t xml:space="preserve"> та споруд</w:t>
            </w:r>
            <w:proofErr w:type="gramStart"/>
            <w:r w:rsidRPr="00AA522A">
              <w:rPr>
                <w:iCs/>
                <w:vertAlign w:val="superscript"/>
                <w:lang w:val="ru-RU" w:eastAsia="ru-RU"/>
              </w:rPr>
              <w:t>2</w:t>
            </w:r>
            <w:proofErr w:type="gramEnd"/>
          </w:p>
        </w:tc>
        <w:tc>
          <w:tcPr>
            <w:tcW w:w="5760" w:type="dxa"/>
            <w:gridSpan w:val="6"/>
            <w:hideMark/>
          </w:tcPr>
          <w:p w:rsidR="0042431E" w:rsidRPr="0042431E" w:rsidRDefault="0042431E" w:rsidP="00DE6133">
            <w:pPr>
              <w:pStyle w:val="af"/>
              <w:ind w:firstLine="7"/>
              <w:rPr>
                <w:iCs/>
                <w:lang w:eastAsia="ru-RU"/>
              </w:rPr>
            </w:pPr>
            <w:r w:rsidRPr="0042431E">
              <w:rPr>
                <w:iCs/>
                <w:lang w:val="ru-RU" w:eastAsia="ru-RU"/>
              </w:rPr>
              <w:t>Ставки податку</w:t>
            </w:r>
            <w:r w:rsidRPr="0042431E">
              <w:rPr>
                <w:iCs/>
                <w:vertAlign w:val="superscript"/>
                <w:lang w:val="ru-RU" w:eastAsia="ru-RU"/>
              </w:rPr>
              <w:t>3</w:t>
            </w:r>
            <w:r w:rsidRPr="0042431E">
              <w:rPr>
                <w:iCs/>
                <w:lang w:val="ru-RU" w:eastAsia="ru-RU"/>
              </w:rPr>
              <w:t xml:space="preserve"> за 1 кв. метр</w:t>
            </w:r>
          </w:p>
        </w:tc>
      </w:tr>
      <w:tr w:rsidR="00AA522A" w:rsidRPr="0042431E" w:rsidTr="00DE6133">
        <w:trPr>
          <w:trHeight w:val="315"/>
        </w:trPr>
        <w:tc>
          <w:tcPr>
            <w:tcW w:w="5440" w:type="dxa"/>
            <w:gridSpan w:val="2"/>
            <w:vMerge/>
            <w:hideMark/>
          </w:tcPr>
          <w:p w:rsidR="0042431E" w:rsidRPr="0042431E" w:rsidRDefault="0042431E" w:rsidP="00DE6133">
            <w:pPr>
              <w:pStyle w:val="af"/>
              <w:ind w:firstLine="709"/>
              <w:jc w:val="both"/>
              <w:rPr>
                <w:iCs/>
                <w:lang w:eastAsia="ru-RU"/>
              </w:rPr>
            </w:pPr>
          </w:p>
        </w:tc>
        <w:tc>
          <w:tcPr>
            <w:tcW w:w="5760" w:type="dxa"/>
            <w:gridSpan w:val="6"/>
            <w:hideMark/>
          </w:tcPr>
          <w:p w:rsidR="0042431E" w:rsidRPr="0042431E" w:rsidRDefault="0042431E" w:rsidP="00DE6133">
            <w:pPr>
              <w:pStyle w:val="af"/>
              <w:ind w:firstLine="7"/>
              <w:jc w:val="both"/>
              <w:rPr>
                <w:iCs/>
                <w:lang w:eastAsia="ru-RU"/>
              </w:rPr>
            </w:pPr>
            <w:r w:rsidRPr="0042431E">
              <w:rPr>
                <w:iCs/>
                <w:lang w:eastAsia="ru-RU"/>
              </w:rPr>
              <w:t>(відсотків розміру мінімальної заробітної плати)</w:t>
            </w:r>
          </w:p>
        </w:tc>
      </w:tr>
      <w:tr w:rsidR="00AA522A" w:rsidRPr="0042431E" w:rsidTr="00DE6133">
        <w:trPr>
          <w:trHeight w:val="315"/>
        </w:trPr>
        <w:tc>
          <w:tcPr>
            <w:tcW w:w="960" w:type="dxa"/>
            <w:vMerge w:val="restart"/>
            <w:hideMark/>
          </w:tcPr>
          <w:p w:rsidR="0042431E" w:rsidRPr="0042431E" w:rsidRDefault="0042431E" w:rsidP="00DE6133">
            <w:pPr>
              <w:pStyle w:val="af"/>
              <w:rPr>
                <w:iCs/>
                <w:lang w:eastAsia="ru-RU"/>
              </w:rPr>
            </w:pPr>
            <w:r w:rsidRPr="00AA522A">
              <w:rPr>
                <w:iCs/>
                <w:lang w:val="ru-RU" w:eastAsia="ru-RU"/>
              </w:rPr>
              <w:t>код</w:t>
            </w:r>
            <w:proofErr w:type="gramStart"/>
            <w:r w:rsidRPr="00AA522A">
              <w:rPr>
                <w:iCs/>
                <w:vertAlign w:val="superscript"/>
                <w:lang w:val="ru-RU" w:eastAsia="ru-RU"/>
              </w:rPr>
              <w:t>2</w:t>
            </w:r>
            <w:proofErr w:type="gramEnd"/>
          </w:p>
        </w:tc>
        <w:tc>
          <w:tcPr>
            <w:tcW w:w="4480" w:type="dxa"/>
            <w:vMerge w:val="restart"/>
            <w:hideMark/>
          </w:tcPr>
          <w:p w:rsidR="0042431E" w:rsidRPr="0042431E" w:rsidRDefault="0042431E" w:rsidP="00DE6133">
            <w:pPr>
              <w:pStyle w:val="af"/>
              <w:rPr>
                <w:iCs/>
                <w:lang w:eastAsia="ru-RU"/>
              </w:rPr>
            </w:pPr>
            <w:proofErr w:type="spellStart"/>
            <w:r w:rsidRPr="00AA522A">
              <w:rPr>
                <w:iCs/>
                <w:lang w:val="ru-RU" w:eastAsia="ru-RU"/>
              </w:rPr>
              <w:t>наймену</w:t>
            </w:r>
            <w:proofErr w:type="spellEnd"/>
            <w:r w:rsidRPr="0042431E">
              <w:rPr>
                <w:iCs/>
                <w:lang w:val="en-US" w:eastAsia="ru-RU"/>
              </w:rPr>
              <w:t>вання</w:t>
            </w:r>
            <w:proofErr w:type="gramStart"/>
            <w:r w:rsidRPr="0042431E">
              <w:rPr>
                <w:iCs/>
                <w:vertAlign w:val="superscript"/>
                <w:lang w:val="en-US" w:eastAsia="ru-RU"/>
              </w:rPr>
              <w:t>2</w:t>
            </w:r>
            <w:proofErr w:type="gramEnd"/>
          </w:p>
        </w:tc>
        <w:tc>
          <w:tcPr>
            <w:tcW w:w="2880" w:type="dxa"/>
            <w:gridSpan w:val="3"/>
            <w:hideMark/>
          </w:tcPr>
          <w:p w:rsidR="0042431E" w:rsidRPr="0042431E" w:rsidRDefault="0042431E" w:rsidP="00DE6133">
            <w:pPr>
              <w:pStyle w:val="af"/>
              <w:ind w:firstLine="7"/>
              <w:jc w:val="both"/>
              <w:rPr>
                <w:iCs/>
                <w:lang w:eastAsia="ru-RU"/>
              </w:rPr>
            </w:pPr>
            <w:proofErr w:type="spellStart"/>
            <w:r w:rsidRPr="0042431E">
              <w:rPr>
                <w:iCs/>
                <w:lang w:val="en-US" w:eastAsia="ru-RU"/>
              </w:rPr>
              <w:t>для</w:t>
            </w:r>
            <w:proofErr w:type="spellEnd"/>
            <w:r w:rsidRPr="0042431E">
              <w:rPr>
                <w:iCs/>
                <w:lang w:val="en-US" w:eastAsia="ru-RU"/>
              </w:rPr>
              <w:t xml:space="preserve"> </w:t>
            </w:r>
            <w:proofErr w:type="spellStart"/>
            <w:r w:rsidRPr="0042431E">
              <w:rPr>
                <w:iCs/>
                <w:lang w:val="en-US" w:eastAsia="ru-RU"/>
              </w:rPr>
              <w:t>юридичних</w:t>
            </w:r>
            <w:proofErr w:type="spellEnd"/>
            <w:r w:rsidRPr="0042431E">
              <w:rPr>
                <w:iCs/>
                <w:lang w:val="en-US" w:eastAsia="ru-RU"/>
              </w:rPr>
              <w:t xml:space="preserve"> </w:t>
            </w:r>
            <w:proofErr w:type="spellStart"/>
            <w:r w:rsidRPr="0042431E">
              <w:rPr>
                <w:iCs/>
                <w:lang w:val="en-US" w:eastAsia="ru-RU"/>
              </w:rPr>
              <w:t>осіб</w:t>
            </w:r>
            <w:proofErr w:type="spellEnd"/>
          </w:p>
        </w:tc>
        <w:tc>
          <w:tcPr>
            <w:tcW w:w="2880" w:type="dxa"/>
            <w:gridSpan w:val="3"/>
            <w:hideMark/>
          </w:tcPr>
          <w:p w:rsidR="0042431E" w:rsidRPr="0042431E" w:rsidRDefault="0042431E" w:rsidP="00DE6133">
            <w:pPr>
              <w:pStyle w:val="af"/>
              <w:ind w:firstLine="7"/>
              <w:jc w:val="both"/>
              <w:rPr>
                <w:iCs/>
                <w:lang w:eastAsia="ru-RU"/>
              </w:rPr>
            </w:pPr>
            <w:proofErr w:type="spellStart"/>
            <w:r w:rsidRPr="0042431E">
              <w:rPr>
                <w:iCs/>
                <w:lang w:val="en-US" w:eastAsia="ru-RU"/>
              </w:rPr>
              <w:t>для</w:t>
            </w:r>
            <w:proofErr w:type="spellEnd"/>
            <w:r w:rsidRPr="0042431E">
              <w:rPr>
                <w:iCs/>
                <w:lang w:val="en-US" w:eastAsia="ru-RU"/>
              </w:rPr>
              <w:t xml:space="preserve"> </w:t>
            </w:r>
            <w:proofErr w:type="spellStart"/>
            <w:r w:rsidRPr="0042431E">
              <w:rPr>
                <w:iCs/>
                <w:lang w:val="en-US" w:eastAsia="ru-RU"/>
              </w:rPr>
              <w:t>фізичних</w:t>
            </w:r>
            <w:proofErr w:type="spellEnd"/>
            <w:r w:rsidRPr="0042431E">
              <w:rPr>
                <w:iCs/>
                <w:lang w:val="en-US" w:eastAsia="ru-RU"/>
              </w:rPr>
              <w:t xml:space="preserve"> </w:t>
            </w:r>
            <w:proofErr w:type="spellStart"/>
            <w:r w:rsidRPr="0042431E">
              <w:rPr>
                <w:iCs/>
                <w:lang w:val="en-US" w:eastAsia="ru-RU"/>
              </w:rPr>
              <w:t>осіб</w:t>
            </w:r>
            <w:proofErr w:type="spellEnd"/>
          </w:p>
        </w:tc>
      </w:tr>
      <w:tr w:rsidR="00AA522A" w:rsidRPr="0042431E" w:rsidTr="00DE6133">
        <w:trPr>
          <w:trHeight w:val="375"/>
        </w:trPr>
        <w:tc>
          <w:tcPr>
            <w:tcW w:w="960" w:type="dxa"/>
            <w:vMerge/>
            <w:hideMark/>
          </w:tcPr>
          <w:p w:rsidR="0042431E" w:rsidRPr="0042431E" w:rsidRDefault="0042431E" w:rsidP="00DE6133">
            <w:pPr>
              <w:pStyle w:val="af"/>
              <w:rPr>
                <w:iCs/>
                <w:lang w:eastAsia="ru-RU"/>
              </w:rPr>
            </w:pPr>
          </w:p>
        </w:tc>
        <w:tc>
          <w:tcPr>
            <w:tcW w:w="4480" w:type="dxa"/>
            <w:vMerge/>
            <w:hideMark/>
          </w:tcPr>
          <w:p w:rsidR="0042431E" w:rsidRPr="0042431E" w:rsidRDefault="0042431E" w:rsidP="00DE6133">
            <w:pPr>
              <w:pStyle w:val="af"/>
              <w:rPr>
                <w:iCs/>
                <w:lang w:eastAsia="ru-RU"/>
              </w:rPr>
            </w:pPr>
          </w:p>
        </w:tc>
        <w:tc>
          <w:tcPr>
            <w:tcW w:w="960" w:type="dxa"/>
            <w:hideMark/>
          </w:tcPr>
          <w:p w:rsidR="0042431E" w:rsidRPr="0042431E" w:rsidRDefault="0042431E" w:rsidP="00DE6133">
            <w:pPr>
              <w:pStyle w:val="af"/>
              <w:ind w:firstLine="7"/>
              <w:rPr>
                <w:iCs/>
                <w:lang w:eastAsia="ru-RU"/>
              </w:rPr>
            </w:pPr>
            <w:r w:rsidRPr="0042431E">
              <w:rPr>
                <w:iCs/>
                <w:lang w:val="en-US" w:eastAsia="ru-RU"/>
              </w:rPr>
              <w:t>1 зона</w:t>
            </w:r>
            <w:r w:rsidRPr="0042431E">
              <w:rPr>
                <w:iCs/>
                <w:vertAlign w:val="superscript"/>
                <w:lang w:val="en-US" w:eastAsia="ru-RU"/>
              </w:rPr>
              <w:t>4</w:t>
            </w:r>
          </w:p>
        </w:tc>
        <w:tc>
          <w:tcPr>
            <w:tcW w:w="960" w:type="dxa"/>
            <w:hideMark/>
          </w:tcPr>
          <w:p w:rsidR="0042431E" w:rsidRPr="0042431E" w:rsidRDefault="0042431E" w:rsidP="00DE6133">
            <w:pPr>
              <w:pStyle w:val="af"/>
              <w:ind w:firstLine="7"/>
              <w:rPr>
                <w:iCs/>
                <w:lang w:eastAsia="ru-RU"/>
              </w:rPr>
            </w:pPr>
            <w:r w:rsidRPr="0042431E">
              <w:rPr>
                <w:iCs/>
                <w:lang w:val="en-US" w:eastAsia="ru-RU"/>
              </w:rPr>
              <w:t>2 зона</w:t>
            </w:r>
            <w:r w:rsidRPr="0042431E">
              <w:rPr>
                <w:iCs/>
                <w:vertAlign w:val="superscript"/>
                <w:lang w:val="en-US" w:eastAsia="ru-RU"/>
              </w:rPr>
              <w:t>4</w:t>
            </w:r>
          </w:p>
        </w:tc>
        <w:tc>
          <w:tcPr>
            <w:tcW w:w="960" w:type="dxa"/>
            <w:hideMark/>
          </w:tcPr>
          <w:p w:rsidR="0042431E" w:rsidRPr="0042431E" w:rsidRDefault="0042431E" w:rsidP="00DE6133">
            <w:pPr>
              <w:pStyle w:val="af"/>
              <w:ind w:firstLine="7"/>
              <w:rPr>
                <w:iCs/>
                <w:lang w:eastAsia="ru-RU"/>
              </w:rPr>
            </w:pPr>
            <w:r w:rsidRPr="0042431E">
              <w:rPr>
                <w:iCs/>
                <w:lang w:val="en-US" w:eastAsia="ru-RU"/>
              </w:rPr>
              <w:t>3 зона</w:t>
            </w:r>
            <w:r w:rsidRPr="0042431E">
              <w:rPr>
                <w:iCs/>
                <w:vertAlign w:val="superscript"/>
                <w:lang w:val="en-US" w:eastAsia="ru-RU"/>
              </w:rPr>
              <w:t>4</w:t>
            </w:r>
          </w:p>
        </w:tc>
        <w:tc>
          <w:tcPr>
            <w:tcW w:w="960" w:type="dxa"/>
            <w:hideMark/>
          </w:tcPr>
          <w:p w:rsidR="0042431E" w:rsidRPr="0042431E" w:rsidRDefault="0042431E" w:rsidP="00DE6133">
            <w:pPr>
              <w:pStyle w:val="af"/>
              <w:ind w:firstLine="7"/>
              <w:rPr>
                <w:iCs/>
                <w:lang w:eastAsia="ru-RU"/>
              </w:rPr>
            </w:pPr>
            <w:r w:rsidRPr="0042431E">
              <w:rPr>
                <w:iCs/>
                <w:lang w:val="en-US" w:eastAsia="ru-RU"/>
              </w:rPr>
              <w:t>1 зона</w:t>
            </w:r>
            <w:r w:rsidRPr="0042431E">
              <w:rPr>
                <w:iCs/>
                <w:vertAlign w:val="superscript"/>
                <w:lang w:val="en-US" w:eastAsia="ru-RU"/>
              </w:rPr>
              <w:t>4</w:t>
            </w:r>
          </w:p>
        </w:tc>
        <w:tc>
          <w:tcPr>
            <w:tcW w:w="960" w:type="dxa"/>
            <w:hideMark/>
          </w:tcPr>
          <w:p w:rsidR="0042431E" w:rsidRPr="0042431E" w:rsidRDefault="0042431E" w:rsidP="00DE6133">
            <w:pPr>
              <w:pStyle w:val="af"/>
              <w:ind w:firstLine="7"/>
              <w:rPr>
                <w:iCs/>
                <w:lang w:eastAsia="ru-RU"/>
              </w:rPr>
            </w:pPr>
            <w:r w:rsidRPr="0042431E">
              <w:rPr>
                <w:iCs/>
                <w:lang w:val="en-US" w:eastAsia="ru-RU"/>
              </w:rPr>
              <w:t>2 зона</w:t>
            </w:r>
            <w:r w:rsidRPr="0042431E">
              <w:rPr>
                <w:iCs/>
                <w:vertAlign w:val="superscript"/>
                <w:lang w:val="en-US" w:eastAsia="ru-RU"/>
              </w:rPr>
              <w:t>4</w:t>
            </w:r>
          </w:p>
        </w:tc>
        <w:tc>
          <w:tcPr>
            <w:tcW w:w="960" w:type="dxa"/>
            <w:hideMark/>
          </w:tcPr>
          <w:p w:rsidR="0042431E" w:rsidRPr="0042431E" w:rsidRDefault="0042431E" w:rsidP="00DE6133">
            <w:pPr>
              <w:pStyle w:val="af"/>
              <w:ind w:firstLine="7"/>
              <w:rPr>
                <w:iCs/>
                <w:lang w:eastAsia="ru-RU"/>
              </w:rPr>
            </w:pPr>
            <w:r w:rsidRPr="0042431E">
              <w:rPr>
                <w:iCs/>
                <w:lang w:val="en-US" w:eastAsia="ru-RU"/>
              </w:rPr>
              <w:t>3 зона</w:t>
            </w:r>
            <w:r w:rsidRPr="0042431E">
              <w:rPr>
                <w:iCs/>
                <w:vertAlign w:val="superscript"/>
                <w:lang w:val="en-US" w:eastAsia="ru-RU"/>
              </w:rPr>
              <w:t>4</w:t>
            </w:r>
          </w:p>
        </w:tc>
      </w:tr>
      <w:tr w:rsidR="00AA522A" w:rsidRPr="0042431E" w:rsidTr="00DE6133">
        <w:trPr>
          <w:trHeight w:val="630"/>
        </w:trPr>
        <w:tc>
          <w:tcPr>
            <w:tcW w:w="960" w:type="dxa"/>
            <w:hideMark/>
          </w:tcPr>
          <w:p w:rsidR="0042431E" w:rsidRPr="00AA522A" w:rsidRDefault="00AA522A" w:rsidP="00DE6133">
            <w:pPr>
              <w:pStyle w:val="af"/>
              <w:rPr>
                <w:iCs/>
                <w:lang w:eastAsia="ru-RU"/>
              </w:rPr>
            </w:pPr>
            <w:r>
              <w:rPr>
                <w:iCs/>
                <w:lang w:val="en-US" w:eastAsia="ru-RU"/>
              </w:rPr>
              <w:t>12</w:t>
            </w:r>
            <w:r>
              <w:rPr>
                <w:iCs/>
                <w:lang w:eastAsia="ru-RU"/>
              </w:rPr>
              <w:t>42</w:t>
            </w:r>
            <w:r w:rsidR="0042431E" w:rsidRPr="0042431E">
              <w:rPr>
                <w:iCs/>
                <w:lang w:val="en-US" w:eastAsia="ru-RU"/>
              </w:rPr>
              <w:t>.</w:t>
            </w:r>
            <w:r>
              <w:rPr>
                <w:iCs/>
                <w:lang w:eastAsia="ru-RU"/>
              </w:rPr>
              <w:t>1</w:t>
            </w:r>
          </w:p>
        </w:tc>
        <w:tc>
          <w:tcPr>
            <w:tcW w:w="4480" w:type="dxa"/>
            <w:hideMark/>
          </w:tcPr>
          <w:p w:rsidR="0042431E" w:rsidRPr="0042431E" w:rsidRDefault="00AA522A" w:rsidP="00DE6133">
            <w:pPr>
              <w:pStyle w:val="af"/>
              <w:rPr>
                <w:iCs/>
                <w:lang w:eastAsia="ru-RU"/>
              </w:rPr>
            </w:pPr>
            <w:r>
              <w:rPr>
                <w:iCs/>
                <w:lang w:eastAsia="ru-RU"/>
              </w:rPr>
              <w:t>Гаражі наземні</w:t>
            </w:r>
          </w:p>
        </w:tc>
        <w:tc>
          <w:tcPr>
            <w:tcW w:w="960" w:type="dxa"/>
            <w:hideMark/>
          </w:tcPr>
          <w:p w:rsidR="0042431E" w:rsidRPr="0042431E" w:rsidRDefault="00AA522A" w:rsidP="00DE6133">
            <w:pPr>
              <w:pStyle w:val="af"/>
              <w:ind w:firstLine="7"/>
              <w:rPr>
                <w:iCs/>
                <w:lang w:eastAsia="ru-RU"/>
              </w:rPr>
            </w:pPr>
            <w:r>
              <w:rPr>
                <w:iCs/>
                <w:lang w:eastAsia="ru-RU"/>
              </w:rPr>
              <w:t>0</w:t>
            </w:r>
            <w:r w:rsidR="00BF7773">
              <w:rPr>
                <w:iCs/>
                <w:lang w:eastAsia="ru-RU"/>
              </w:rPr>
              <w:t>,</w:t>
            </w:r>
            <w:r>
              <w:rPr>
                <w:iCs/>
                <w:lang w:eastAsia="ru-RU"/>
              </w:rPr>
              <w:t>5</w:t>
            </w:r>
          </w:p>
        </w:tc>
        <w:tc>
          <w:tcPr>
            <w:tcW w:w="960" w:type="dxa"/>
            <w:hideMark/>
          </w:tcPr>
          <w:p w:rsidR="0042431E" w:rsidRPr="0042431E" w:rsidRDefault="0042431E" w:rsidP="00DE6133">
            <w:pPr>
              <w:pStyle w:val="af"/>
              <w:ind w:firstLine="7"/>
              <w:rPr>
                <w:iCs/>
                <w:lang w:eastAsia="ru-RU"/>
              </w:rPr>
            </w:pPr>
          </w:p>
        </w:tc>
        <w:tc>
          <w:tcPr>
            <w:tcW w:w="960" w:type="dxa"/>
            <w:hideMark/>
          </w:tcPr>
          <w:p w:rsidR="0042431E" w:rsidRPr="0042431E" w:rsidRDefault="0042431E" w:rsidP="00DE6133">
            <w:pPr>
              <w:pStyle w:val="af"/>
              <w:ind w:firstLine="7"/>
              <w:rPr>
                <w:iCs/>
                <w:lang w:eastAsia="ru-RU"/>
              </w:rPr>
            </w:pPr>
          </w:p>
        </w:tc>
        <w:tc>
          <w:tcPr>
            <w:tcW w:w="960" w:type="dxa"/>
            <w:hideMark/>
          </w:tcPr>
          <w:p w:rsidR="0042431E" w:rsidRPr="0042431E" w:rsidRDefault="00AA522A" w:rsidP="00DE6133">
            <w:pPr>
              <w:pStyle w:val="af"/>
              <w:ind w:firstLine="7"/>
              <w:rPr>
                <w:iCs/>
                <w:lang w:eastAsia="ru-RU"/>
              </w:rPr>
            </w:pPr>
            <w:r>
              <w:rPr>
                <w:iCs/>
                <w:lang w:eastAsia="ru-RU"/>
              </w:rPr>
              <w:t>0,5</w:t>
            </w:r>
          </w:p>
        </w:tc>
        <w:tc>
          <w:tcPr>
            <w:tcW w:w="960" w:type="dxa"/>
            <w:hideMark/>
          </w:tcPr>
          <w:p w:rsidR="0042431E" w:rsidRPr="0042431E" w:rsidRDefault="0042431E" w:rsidP="00DE6133">
            <w:pPr>
              <w:pStyle w:val="af"/>
              <w:ind w:firstLine="7"/>
              <w:rPr>
                <w:iCs/>
                <w:lang w:eastAsia="ru-RU"/>
              </w:rPr>
            </w:pPr>
          </w:p>
        </w:tc>
        <w:tc>
          <w:tcPr>
            <w:tcW w:w="960" w:type="dxa"/>
            <w:hideMark/>
          </w:tcPr>
          <w:p w:rsidR="0042431E" w:rsidRPr="0042431E" w:rsidRDefault="0042431E" w:rsidP="00DE6133">
            <w:pPr>
              <w:pStyle w:val="af"/>
              <w:ind w:firstLine="7"/>
              <w:rPr>
                <w:iCs/>
                <w:lang w:eastAsia="ru-RU"/>
              </w:rPr>
            </w:pPr>
          </w:p>
        </w:tc>
      </w:tr>
    </w:tbl>
    <w:p w:rsidR="0042431E" w:rsidRPr="0042431E" w:rsidRDefault="0042431E" w:rsidP="006E6EC3">
      <w:pPr>
        <w:pStyle w:val="af"/>
        <w:ind w:firstLine="709"/>
        <w:jc w:val="both"/>
        <w:rPr>
          <w:b/>
          <w:iCs/>
          <w:sz w:val="28"/>
          <w:szCs w:val="28"/>
          <w:lang w:eastAsia="ru-RU"/>
        </w:rPr>
      </w:pPr>
    </w:p>
    <w:p w:rsidR="001D5C82" w:rsidRDefault="001D5C82" w:rsidP="006E6EC3">
      <w:pPr>
        <w:pStyle w:val="af"/>
        <w:ind w:firstLine="709"/>
        <w:jc w:val="both"/>
        <w:rPr>
          <w:iCs/>
          <w:sz w:val="28"/>
          <w:szCs w:val="28"/>
        </w:rPr>
      </w:pPr>
    </w:p>
    <w:p w:rsidR="00E876EA" w:rsidRPr="00861093" w:rsidRDefault="00B831E6" w:rsidP="00B831E6">
      <w:pPr>
        <w:pStyle w:val="af"/>
        <w:ind w:firstLine="709"/>
        <w:jc w:val="both"/>
        <w:rPr>
          <w:iCs/>
          <w:sz w:val="28"/>
          <w:szCs w:val="28"/>
        </w:rPr>
      </w:pPr>
      <w:r>
        <w:rPr>
          <w:iCs/>
          <w:sz w:val="28"/>
          <w:szCs w:val="28"/>
        </w:rPr>
        <w:t>2.</w:t>
      </w:r>
      <w:r w:rsidR="006A3FB1">
        <w:rPr>
          <w:iCs/>
          <w:sz w:val="28"/>
          <w:szCs w:val="28"/>
        </w:rPr>
        <w:t>В</w:t>
      </w:r>
      <w:r w:rsidR="00E876EA">
        <w:rPr>
          <w:iCs/>
          <w:sz w:val="28"/>
          <w:szCs w:val="28"/>
        </w:rPr>
        <w:t xml:space="preserve">нести  зміни у додаток 1.2 (Перелік пільг </w:t>
      </w:r>
      <w:r w:rsidR="00E876EA" w:rsidRPr="006A3FB1">
        <w:rPr>
          <w:iCs/>
          <w:sz w:val="28"/>
          <w:szCs w:val="28"/>
        </w:rPr>
        <w:t xml:space="preserve">для </w:t>
      </w:r>
      <w:r w:rsidR="006A3FB1" w:rsidRPr="006A3FB1">
        <w:rPr>
          <w:color w:val="2A2928"/>
          <w:sz w:val="28"/>
          <w:szCs w:val="28"/>
        </w:rPr>
        <w:t xml:space="preserve"> фізичних та юридичних осіб, наданих відповідно </w:t>
      </w:r>
      <w:r w:rsidR="006A3FB1" w:rsidRPr="006A3FB1">
        <w:rPr>
          <w:sz w:val="28"/>
          <w:szCs w:val="28"/>
        </w:rPr>
        <w:t>до </w:t>
      </w:r>
      <w:hyperlink r:id="rId10" w:tgtFrame="_top" w:history="1">
        <w:r w:rsidR="006A3FB1" w:rsidRPr="006A3FB1">
          <w:rPr>
            <w:rStyle w:val="af2"/>
            <w:sz w:val="28"/>
            <w:szCs w:val="28"/>
          </w:rPr>
          <w:t>підпункту 266.4.2 пункту 266.4 статті 266 Податкового кодексу України</w:t>
        </w:r>
      </w:hyperlink>
      <w:r w:rsidR="006A3FB1" w:rsidRPr="006A3FB1">
        <w:rPr>
          <w:sz w:val="28"/>
          <w:szCs w:val="28"/>
        </w:rPr>
        <w:t>, із сплати податку на нерухом</w:t>
      </w:r>
      <w:r w:rsidR="006A3FB1" w:rsidRPr="006A3FB1">
        <w:rPr>
          <w:color w:val="2A2928"/>
          <w:sz w:val="28"/>
          <w:szCs w:val="28"/>
        </w:rPr>
        <w:t>е майно, відмінне від земельної ділянки</w:t>
      </w:r>
      <w:r w:rsidR="006A3FB1" w:rsidRPr="006A3FB1">
        <w:rPr>
          <w:color w:val="2A2928"/>
          <w:sz w:val="28"/>
          <w:szCs w:val="28"/>
          <w:vertAlign w:val="superscript"/>
        </w:rPr>
        <w:t>1</w:t>
      </w:r>
      <w:r w:rsidR="006A3FB1">
        <w:rPr>
          <w:color w:val="2A2928"/>
          <w:sz w:val="28"/>
          <w:szCs w:val="28"/>
          <w:vertAlign w:val="superscript"/>
        </w:rPr>
        <w:t xml:space="preserve"> </w:t>
      </w:r>
      <w:r w:rsidR="006A3FB1">
        <w:rPr>
          <w:iCs/>
          <w:sz w:val="28"/>
          <w:szCs w:val="28"/>
        </w:rPr>
        <w:t>)</w:t>
      </w:r>
      <w:r w:rsidR="00861093">
        <w:rPr>
          <w:iCs/>
          <w:sz w:val="28"/>
          <w:szCs w:val="28"/>
        </w:rPr>
        <w:t xml:space="preserve"> до рішення міської ради від 25.06.2019 №818-20/VІІ «Про встановлення місцевих податків і зборів</w:t>
      </w:r>
      <w:r w:rsidR="00554D01">
        <w:rPr>
          <w:iCs/>
          <w:sz w:val="28"/>
          <w:szCs w:val="28"/>
        </w:rPr>
        <w:t xml:space="preserve"> на підвідомчій території </w:t>
      </w:r>
      <w:proofErr w:type="spellStart"/>
      <w:r w:rsidR="00554D01">
        <w:rPr>
          <w:iCs/>
          <w:sz w:val="28"/>
          <w:szCs w:val="28"/>
        </w:rPr>
        <w:t>Бобровицької</w:t>
      </w:r>
      <w:proofErr w:type="spellEnd"/>
      <w:r w:rsidR="00554D01">
        <w:rPr>
          <w:iCs/>
          <w:sz w:val="28"/>
          <w:szCs w:val="28"/>
        </w:rPr>
        <w:t xml:space="preserve"> міської ради на 2020 рік», виклавши його в наступній </w:t>
      </w:r>
      <w:r w:rsidR="000A0C81">
        <w:rPr>
          <w:iCs/>
          <w:sz w:val="28"/>
          <w:szCs w:val="28"/>
        </w:rPr>
        <w:t xml:space="preserve"> редакції:</w:t>
      </w:r>
    </w:p>
    <w:tbl>
      <w:tblPr>
        <w:tblW w:w="0" w:type="auto"/>
        <w:tblBorders>
          <w:top w:val="single" w:sz="6" w:space="0" w:color="989898"/>
          <w:left w:val="single" w:sz="6" w:space="0" w:color="989898"/>
          <w:bottom w:val="single" w:sz="6" w:space="0" w:color="989898"/>
          <w:right w:val="single" w:sz="6" w:space="0" w:color="989898"/>
        </w:tblBorders>
        <w:tblLook w:val="04A0" w:firstRow="1" w:lastRow="0" w:firstColumn="1" w:lastColumn="0" w:noHBand="0" w:noVBand="1"/>
      </w:tblPr>
      <w:tblGrid>
        <w:gridCol w:w="1953"/>
        <w:gridCol w:w="1871"/>
        <w:gridCol w:w="3064"/>
        <w:gridCol w:w="2765"/>
      </w:tblGrid>
      <w:tr w:rsidR="00805AE3" w:rsidTr="00D92FA0">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r>
              <w:rPr>
                <w:sz w:val="20"/>
                <w:szCs w:val="20"/>
              </w:rPr>
              <w:t>Код області</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r>
              <w:rPr>
                <w:sz w:val="20"/>
                <w:szCs w:val="20"/>
              </w:rPr>
              <w:t>Код району</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r>
              <w:rPr>
                <w:sz w:val="20"/>
                <w:szCs w:val="20"/>
              </w:rPr>
              <w:t>Код згідно з КОАТУУ</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r>
              <w:rPr>
                <w:sz w:val="20"/>
                <w:szCs w:val="20"/>
              </w:rPr>
              <w:t>Найменування адміністративно-територіальної одиниці або населеного пункту, або території об'єднаної територіальної громади</w:t>
            </w:r>
          </w:p>
        </w:tc>
      </w:tr>
      <w:tr w:rsidR="00805AE3" w:rsidTr="00D92FA0">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r>
              <w:rPr>
                <w:sz w:val="20"/>
                <w:szCs w:val="20"/>
              </w:rPr>
              <w:t>74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r>
              <w:rPr>
                <w:sz w:val="20"/>
                <w:szCs w:val="20"/>
              </w:rPr>
              <w:t>206</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r>
              <w:rPr>
                <w:sz w:val="20"/>
                <w:szCs w:val="20"/>
              </w:rPr>
              <w:t>7420610100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proofErr w:type="spellStart"/>
            <w:r>
              <w:rPr>
                <w:sz w:val="20"/>
                <w:szCs w:val="20"/>
              </w:rPr>
              <w:t>Бобровицька</w:t>
            </w:r>
            <w:proofErr w:type="spellEnd"/>
            <w:r>
              <w:rPr>
                <w:sz w:val="20"/>
                <w:szCs w:val="20"/>
              </w:rPr>
              <w:t xml:space="preserve"> міська рада</w:t>
            </w:r>
          </w:p>
        </w:tc>
      </w:tr>
      <w:tr w:rsidR="00805AE3" w:rsidTr="00D92FA0">
        <w:tc>
          <w:tcPr>
            <w:tcW w:w="0" w:type="auto"/>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r>
              <w:rPr>
                <w:sz w:val="20"/>
                <w:szCs w:val="20"/>
              </w:rPr>
              <w:t>Група платників, категорія/класифікація будівель та споруд</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Default="009A0498" w:rsidP="00D92FA0">
            <w:pPr>
              <w:spacing w:after="200" w:line="360" w:lineRule="atLeast"/>
              <w:jc w:val="center"/>
              <w:rPr>
                <w:sz w:val="20"/>
                <w:szCs w:val="20"/>
              </w:rPr>
            </w:pPr>
            <w:r>
              <w:rPr>
                <w:sz w:val="20"/>
                <w:szCs w:val="20"/>
              </w:rPr>
              <w:t>Розмір пільги (відсотків суми податкового зобов'язання за рік)</w:t>
            </w:r>
          </w:p>
        </w:tc>
      </w:tr>
      <w:tr w:rsidR="00805AE3" w:rsidTr="00D92FA0">
        <w:tc>
          <w:tcPr>
            <w:tcW w:w="0" w:type="auto"/>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A0498" w:rsidRPr="00A74B2F" w:rsidRDefault="009A0498" w:rsidP="00D92FA0">
            <w:pPr>
              <w:spacing w:line="360" w:lineRule="atLeast"/>
              <w:jc w:val="center"/>
              <w:rPr>
                <w:sz w:val="24"/>
                <w:szCs w:val="24"/>
              </w:rPr>
            </w:pPr>
            <w:r w:rsidRPr="00A74B2F">
              <w:rPr>
                <w:sz w:val="24"/>
                <w:szCs w:val="24"/>
              </w:rPr>
              <w:t>Фізичні особи</w:t>
            </w:r>
          </w:p>
          <w:p w:rsidR="009A0498" w:rsidRDefault="009A0498" w:rsidP="00D92FA0">
            <w:pPr>
              <w:tabs>
                <w:tab w:val="center" w:pos="4982"/>
                <w:tab w:val="left" w:pos="8520"/>
              </w:tabs>
              <w:spacing w:line="360" w:lineRule="atLeast"/>
              <w:rPr>
                <w:sz w:val="20"/>
                <w:szCs w:val="20"/>
              </w:rPr>
            </w:pPr>
            <w:r>
              <w:rPr>
                <w:sz w:val="20"/>
                <w:szCs w:val="20"/>
              </w:rPr>
              <w:t xml:space="preserve">Для квартири/квартир,  незалежно від їх кількості на 60 </w:t>
            </w:r>
            <w:proofErr w:type="spellStart"/>
            <w:r>
              <w:rPr>
                <w:sz w:val="20"/>
                <w:szCs w:val="20"/>
              </w:rPr>
              <w:t>кв.м</w:t>
            </w:r>
            <w:proofErr w:type="spellEnd"/>
            <w:r>
              <w:rPr>
                <w:sz w:val="20"/>
                <w:szCs w:val="20"/>
              </w:rPr>
              <w:tab/>
            </w:r>
          </w:p>
          <w:p w:rsidR="009A0498" w:rsidRDefault="00A74B2F" w:rsidP="00D92FA0">
            <w:pPr>
              <w:tabs>
                <w:tab w:val="center" w:pos="4982"/>
                <w:tab w:val="left" w:pos="8520"/>
              </w:tabs>
              <w:spacing w:line="360" w:lineRule="atLeast"/>
              <w:rPr>
                <w:sz w:val="20"/>
                <w:szCs w:val="20"/>
              </w:rPr>
            </w:pPr>
            <w:r>
              <w:rPr>
                <w:sz w:val="20"/>
                <w:szCs w:val="20"/>
              </w:rPr>
              <w:t xml:space="preserve"> </w:t>
            </w:r>
            <w:r w:rsidR="009A0498">
              <w:rPr>
                <w:sz w:val="20"/>
                <w:szCs w:val="20"/>
              </w:rPr>
              <w:t xml:space="preserve">Для житлового </w:t>
            </w:r>
            <w:proofErr w:type="spellStart"/>
            <w:r w:rsidR="009A0498">
              <w:rPr>
                <w:sz w:val="20"/>
                <w:szCs w:val="20"/>
              </w:rPr>
              <w:t>будинку\</w:t>
            </w:r>
            <w:proofErr w:type="spellEnd"/>
            <w:r w:rsidR="009A0498">
              <w:rPr>
                <w:sz w:val="20"/>
                <w:szCs w:val="20"/>
              </w:rPr>
              <w:t xml:space="preserve"> будинків, незалежно від їх кількості на 120 </w:t>
            </w:r>
            <w:proofErr w:type="spellStart"/>
            <w:r w:rsidR="009A0498">
              <w:rPr>
                <w:sz w:val="20"/>
                <w:szCs w:val="20"/>
              </w:rPr>
              <w:t>кв.м</w:t>
            </w:r>
            <w:proofErr w:type="spellEnd"/>
          </w:p>
          <w:p w:rsidR="009A0498" w:rsidRDefault="009A0498" w:rsidP="00D92FA0">
            <w:pPr>
              <w:tabs>
                <w:tab w:val="center" w:pos="4982"/>
                <w:tab w:val="left" w:pos="8520"/>
              </w:tabs>
              <w:spacing w:after="200" w:line="360" w:lineRule="atLeast"/>
              <w:rPr>
                <w:sz w:val="20"/>
                <w:szCs w:val="20"/>
              </w:rPr>
            </w:pPr>
            <w:r>
              <w:rPr>
                <w:sz w:val="20"/>
                <w:szCs w:val="20"/>
              </w:rPr>
              <w:t xml:space="preserve">Для різних видів об’єктів житлової нерухомості, в тому числі їх часток ( у разі їх одночасного перебування у власності платника податку, квартири/квартир та житлового будинку/будинків, у тому числі їх часток) на 180 </w:t>
            </w:r>
            <w:proofErr w:type="spellStart"/>
            <w:r>
              <w:rPr>
                <w:sz w:val="20"/>
                <w:szCs w:val="20"/>
              </w:rPr>
              <w:t>кв.м</w:t>
            </w:r>
            <w:proofErr w:type="spellEnd"/>
          </w:p>
          <w:p w:rsidR="00A74B2F" w:rsidRDefault="00A74B2F" w:rsidP="00D92FA0">
            <w:pPr>
              <w:tabs>
                <w:tab w:val="center" w:pos="4982"/>
                <w:tab w:val="left" w:pos="8520"/>
              </w:tabs>
              <w:spacing w:after="200" w:line="360" w:lineRule="atLeast"/>
              <w:rPr>
                <w:sz w:val="20"/>
                <w:szCs w:val="20"/>
              </w:rPr>
            </w:pPr>
            <w:r>
              <w:rPr>
                <w:sz w:val="20"/>
                <w:szCs w:val="20"/>
              </w:rPr>
              <w:t>Господарські (присадибні) будівлі-допоміжні (нежитлові) приміщення, д</w:t>
            </w:r>
            <w:r w:rsidR="00805AE3">
              <w:rPr>
                <w:sz w:val="20"/>
                <w:szCs w:val="20"/>
              </w:rPr>
              <w:t xml:space="preserve">о яких належать сараї, хліви, індивідуальні гаражі, літні кухні, майстерні, вбиральні, погреби, навіси, котельні, бойлерні, трансформаторні підстанції тощо (за умови, якщо такі об’єкти нежитлової нерухомості не використовуються їх власниками з метою одержання доходів)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05AE3" w:rsidRDefault="00805AE3" w:rsidP="00805AE3">
            <w:pPr>
              <w:spacing w:line="360" w:lineRule="atLeast"/>
              <w:rPr>
                <w:sz w:val="20"/>
                <w:szCs w:val="20"/>
              </w:rPr>
            </w:pPr>
          </w:p>
          <w:p w:rsidR="00805AE3" w:rsidRDefault="00805AE3" w:rsidP="00D92FA0">
            <w:pPr>
              <w:spacing w:line="360" w:lineRule="atLeast"/>
              <w:rPr>
                <w:sz w:val="20"/>
                <w:szCs w:val="20"/>
              </w:rPr>
            </w:pPr>
            <w:r>
              <w:rPr>
                <w:sz w:val="20"/>
                <w:szCs w:val="20"/>
              </w:rPr>
              <w:t xml:space="preserve"> </w:t>
            </w:r>
            <w:r w:rsidR="009A0498">
              <w:rPr>
                <w:sz w:val="20"/>
                <w:szCs w:val="20"/>
              </w:rPr>
              <w:t>100%</w:t>
            </w:r>
          </w:p>
          <w:p w:rsidR="009A0498" w:rsidRPr="00EE01C3" w:rsidRDefault="009A0498" w:rsidP="00D92FA0">
            <w:pPr>
              <w:spacing w:line="360" w:lineRule="atLeast"/>
              <w:rPr>
                <w:sz w:val="20"/>
                <w:szCs w:val="20"/>
              </w:rPr>
            </w:pPr>
            <w:r>
              <w:rPr>
                <w:sz w:val="20"/>
                <w:szCs w:val="20"/>
              </w:rPr>
              <w:t xml:space="preserve">  100%</w:t>
            </w:r>
          </w:p>
          <w:p w:rsidR="00FE0336" w:rsidRDefault="009A0498" w:rsidP="00D92FA0">
            <w:pPr>
              <w:spacing w:after="200" w:line="360" w:lineRule="atLeast"/>
              <w:rPr>
                <w:sz w:val="20"/>
                <w:szCs w:val="20"/>
              </w:rPr>
            </w:pPr>
            <w:r>
              <w:rPr>
                <w:sz w:val="20"/>
                <w:szCs w:val="20"/>
              </w:rPr>
              <w:t xml:space="preserve"> </w:t>
            </w:r>
          </w:p>
          <w:p w:rsidR="00FE0336" w:rsidRDefault="00FE0336" w:rsidP="00FE0336">
            <w:pPr>
              <w:spacing w:after="0" w:line="240" w:lineRule="auto"/>
              <w:rPr>
                <w:sz w:val="20"/>
                <w:szCs w:val="20"/>
              </w:rPr>
            </w:pPr>
          </w:p>
          <w:p w:rsidR="009A0498" w:rsidRDefault="009A0498" w:rsidP="00D92FA0">
            <w:pPr>
              <w:spacing w:after="200" w:line="360" w:lineRule="atLeast"/>
              <w:rPr>
                <w:sz w:val="20"/>
                <w:szCs w:val="20"/>
              </w:rPr>
            </w:pPr>
            <w:r>
              <w:rPr>
                <w:sz w:val="20"/>
                <w:szCs w:val="20"/>
              </w:rPr>
              <w:t xml:space="preserve"> </w:t>
            </w:r>
            <w:r w:rsidR="00805AE3">
              <w:rPr>
                <w:sz w:val="20"/>
                <w:szCs w:val="20"/>
              </w:rPr>
              <w:t xml:space="preserve"> </w:t>
            </w:r>
            <w:r>
              <w:rPr>
                <w:sz w:val="20"/>
                <w:szCs w:val="20"/>
              </w:rPr>
              <w:t>100%</w:t>
            </w:r>
          </w:p>
          <w:p w:rsidR="00805AE3" w:rsidRDefault="00805AE3" w:rsidP="00D92FA0">
            <w:pPr>
              <w:spacing w:after="200" w:line="360" w:lineRule="atLeast"/>
              <w:rPr>
                <w:sz w:val="20"/>
                <w:szCs w:val="20"/>
              </w:rPr>
            </w:pPr>
          </w:p>
          <w:p w:rsidR="00805AE3" w:rsidRDefault="00805AE3" w:rsidP="00D92FA0">
            <w:pPr>
              <w:spacing w:after="200" w:line="360" w:lineRule="atLeast"/>
              <w:rPr>
                <w:sz w:val="20"/>
                <w:szCs w:val="20"/>
              </w:rPr>
            </w:pPr>
          </w:p>
          <w:p w:rsidR="00FE0336" w:rsidRDefault="00FE0336" w:rsidP="00FE0336">
            <w:pPr>
              <w:spacing w:after="0" w:line="240" w:lineRule="auto"/>
              <w:rPr>
                <w:sz w:val="20"/>
                <w:szCs w:val="20"/>
              </w:rPr>
            </w:pPr>
          </w:p>
          <w:p w:rsidR="00805AE3" w:rsidRPr="00300A1B" w:rsidRDefault="00805AE3" w:rsidP="00D92FA0">
            <w:pPr>
              <w:spacing w:after="200" w:line="360" w:lineRule="atLeast"/>
              <w:rPr>
                <w:sz w:val="20"/>
                <w:szCs w:val="20"/>
              </w:rPr>
            </w:pPr>
            <w:r>
              <w:rPr>
                <w:sz w:val="20"/>
                <w:szCs w:val="20"/>
              </w:rPr>
              <w:t>100%</w:t>
            </w:r>
          </w:p>
        </w:tc>
      </w:tr>
    </w:tbl>
    <w:p w:rsidR="00E876EA" w:rsidRPr="006A3FB1" w:rsidRDefault="00E876EA" w:rsidP="00B831E6">
      <w:pPr>
        <w:pStyle w:val="af"/>
        <w:ind w:firstLine="709"/>
        <w:jc w:val="both"/>
        <w:rPr>
          <w:b/>
          <w:iCs/>
          <w:sz w:val="28"/>
          <w:szCs w:val="28"/>
        </w:rPr>
      </w:pPr>
    </w:p>
    <w:p w:rsidR="00B831E6" w:rsidRDefault="00805AE3" w:rsidP="00B831E6">
      <w:pPr>
        <w:pStyle w:val="af"/>
        <w:ind w:firstLine="709"/>
        <w:jc w:val="both"/>
        <w:rPr>
          <w:iCs/>
          <w:sz w:val="28"/>
          <w:szCs w:val="28"/>
        </w:rPr>
      </w:pPr>
      <w:r>
        <w:rPr>
          <w:iCs/>
          <w:sz w:val="28"/>
          <w:szCs w:val="28"/>
        </w:rPr>
        <w:t>3.</w:t>
      </w:r>
      <w:r w:rsidR="00B831E6">
        <w:rPr>
          <w:iCs/>
          <w:sz w:val="28"/>
          <w:szCs w:val="28"/>
        </w:rPr>
        <w:t xml:space="preserve">Рішення набирає чинності з 01 січня 2020 року та діє на всій підвідомчій території </w:t>
      </w:r>
      <w:proofErr w:type="spellStart"/>
      <w:r w:rsidR="00B831E6">
        <w:rPr>
          <w:iCs/>
          <w:sz w:val="28"/>
          <w:szCs w:val="28"/>
        </w:rPr>
        <w:t>Бобровицької</w:t>
      </w:r>
      <w:proofErr w:type="spellEnd"/>
      <w:r w:rsidR="00B831E6">
        <w:rPr>
          <w:iCs/>
          <w:sz w:val="28"/>
          <w:szCs w:val="28"/>
        </w:rPr>
        <w:t xml:space="preserve"> міської ради.</w:t>
      </w:r>
    </w:p>
    <w:p w:rsidR="00B831E6" w:rsidRDefault="00805AE3" w:rsidP="00B831E6">
      <w:pPr>
        <w:pStyle w:val="af"/>
        <w:ind w:firstLine="709"/>
        <w:jc w:val="both"/>
        <w:rPr>
          <w:iCs/>
          <w:sz w:val="28"/>
          <w:szCs w:val="28"/>
        </w:rPr>
      </w:pPr>
      <w:r>
        <w:rPr>
          <w:iCs/>
          <w:sz w:val="28"/>
          <w:szCs w:val="28"/>
        </w:rPr>
        <w:t>4</w:t>
      </w:r>
      <w:r w:rsidR="00B831E6">
        <w:rPr>
          <w:iCs/>
          <w:sz w:val="28"/>
          <w:szCs w:val="28"/>
        </w:rPr>
        <w:t xml:space="preserve">.Оприлюднити це рішення на офіційному сайті </w:t>
      </w:r>
      <w:proofErr w:type="spellStart"/>
      <w:r w:rsidR="00B831E6">
        <w:rPr>
          <w:iCs/>
          <w:sz w:val="28"/>
          <w:szCs w:val="28"/>
        </w:rPr>
        <w:t>Бобровицької</w:t>
      </w:r>
      <w:proofErr w:type="spellEnd"/>
      <w:r w:rsidR="00B831E6">
        <w:rPr>
          <w:iCs/>
          <w:sz w:val="28"/>
          <w:szCs w:val="28"/>
        </w:rPr>
        <w:t xml:space="preserve"> міської ради.</w:t>
      </w:r>
    </w:p>
    <w:p w:rsidR="00B831E6" w:rsidRDefault="00805AE3" w:rsidP="00B831E6">
      <w:pPr>
        <w:pStyle w:val="af"/>
        <w:ind w:firstLine="709"/>
        <w:jc w:val="both"/>
        <w:rPr>
          <w:iCs/>
          <w:sz w:val="28"/>
          <w:szCs w:val="28"/>
        </w:rPr>
      </w:pPr>
      <w:r>
        <w:rPr>
          <w:iCs/>
          <w:sz w:val="28"/>
          <w:szCs w:val="28"/>
        </w:rPr>
        <w:t>5</w:t>
      </w:r>
      <w:r w:rsidR="00B831E6">
        <w:rPr>
          <w:iCs/>
          <w:sz w:val="28"/>
          <w:szCs w:val="28"/>
        </w:rPr>
        <w:t>.Контроль за виконанням цього рішення покласти на постійні комісії  міської ради : з питань фінансів, бюджету та соціально-економічного розвитку;   з питань містобудування, земельних відносин та охорони навколишнього середовища.</w:t>
      </w:r>
    </w:p>
    <w:p w:rsidR="00B831E6" w:rsidRDefault="00B831E6" w:rsidP="00B831E6">
      <w:pPr>
        <w:pStyle w:val="af"/>
        <w:ind w:firstLine="709"/>
        <w:jc w:val="both"/>
        <w:rPr>
          <w:iCs/>
          <w:sz w:val="28"/>
          <w:szCs w:val="28"/>
        </w:rPr>
      </w:pPr>
    </w:p>
    <w:tbl>
      <w:tblPr>
        <w:tblW w:w="10019" w:type="dxa"/>
        <w:tblLook w:val="04A0" w:firstRow="1" w:lastRow="0" w:firstColumn="1" w:lastColumn="0" w:noHBand="0" w:noVBand="1"/>
      </w:tblPr>
      <w:tblGrid>
        <w:gridCol w:w="5009"/>
        <w:gridCol w:w="5010"/>
      </w:tblGrid>
      <w:tr w:rsidR="00B831E6" w:rsidRPr="006D65B5" w:rsidTr="00B831E6">
        <w:trPr>
          <w:trHeight w:val="384"/>
        </w:trPr>
        <w:tc>
          <w:tcPr>
            <w:tcW w:w="5009" w:type="dxa"/>
            <w:shd w:val="clear" w:color="auto" w:fill="auto"/>
          </w:tcPr>
          <w:p w:rsidR="00B831E6" w:rsidRPr="006D65B5" w:rsidRDefault="00B831E6" w:rsidP="00FE0336">
            <w:pPr>
              <w:pStyle w:val="af"/>
              <w:jc w:val="left"/>
              <w:rPr>
                <w:iCs/>
                <w:sz w:val="28"/>
                <w:szCs w:val="28"/>
                <w:lang w:eastAsia="ru-RU"/>
              </w:rPr>
            </w:pPr>
            <w:r>
              <w:rPr>
                <w:iCs/>
                <w:sz w:val="28"/>
                <w:szCs w:val="28"/>
                <w:lang w:eastAsia="ru-RU"/>
              </w:rPr>
              <w:t>М</w:t>
            </w:r>
            <w:r w:rsidRPr="006D65B5">
              <w:rPr>
                <w:iCs/>
                <w:sz w:val="28"/>
                <w:szCs w:val="28"/>
                <w:lang w:eastAsia="ru-RU"/>
              </w:rPr>
              <w:t>іський голова</w:t>
            </w:r>
            <w:r>
              <w:rPr>
                <w:iCs/>
                <w:sz w:val="28"/>
                <w:szCs w:val="28"/>
                <w:lang w:eastAsia="ru-RU"/>
              </w:rPr>
              <w:t xml:space="preserve"> </w:t>
            </w:r>
          </w:p>
        </w:tc>
        <w:tc>
          <w:tcPr>
            <w:tcW w:w="5010" w:type="dxa"/>
            <w:shd w:val="clear" w:color="auto" w:fill="auto"/>
          </w:tcPr>
          <w:p w:rsidR="00B831E6" w:rsidRPr="006D65B5" w:rsidRDefault="00B831E6" w:rsidP="00B831E6">
            <w:pPr>
              <w:pStyle w:val="af"/>
              <w:jc w:val="right"/>
              <w:rPr>
                <w:iCs/>
                <w:sz w:val="28"/>
                <w:szCs w:val="28"/>
                <w:lang w:eastAsia="ru-RU"/>
              </w:rPr>
            </w:pPr>
            <w:r w:rsidRPr="006D65B5">
              <w:rPr>
                <w:iCs/>
                <w:sz w:val="28"/>
                <w:szCs w:val="28"/>
                <w:lang w:eastAsia="ru-RU"/>
              </w:rPr>
              <w:t>Т.</w:t>
            </w:r>
            <w:r>
              <w:rPr>
                <w:iCs/>
                <w:sz w:val="28"/>
                <w:szCs w:val="28"/>
                <w:lang w:eastAsia="ru-RU"/>
              </w:rPr>
              <w:t xml:space="preserve"> </w:t>
            </w:r>
            <w:r w:rsidRPr="006D65B5">
              <w:rPr>
                <w:iCs/>
                <w:sz w:val="28"/>
                <w:szCs w:val="28"/>
                <w:lang w:eastAsia="ru-RU"/>
              </w:rPr>
              <w:t>КОВЧЕЖНЮК</w:t>
            </w:r>
          </w:p>
        </w:tc>
      </w:tr>
    </w:tbl>
    <w:p w:rsidR="00195EC9" w:rsidRDefault="00195EC9">
      <w:pPr>
        <w:spacing w:after="200" w:line="276" w:lineRule="auto"/>
        <w:rPr>
          <w:sz w:val="2"/>
          <w:szCs w:val="2"/>
        </w:rPr>
      </w:pPr>
      <w:bookmarkStart w:id="0" w:name="_GoBack"/>
      <w:bookmarkEnd w:id="0"/>
      <w:r>
        <w:rPr>
          <w:sz w:val="2"/>
          <w:szCs w:val="2"/>
        </w:rPr>
        <w:br w:type="page"/>
      </w:r>
    </w:p>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lastRenderedPageBreak/>
        <w:t>АНАЛІЗ РЕГУЛЯТОРНОГО ВПЛИВУ</w:t>
      </w:r>
    </w:p>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до проекту рішення </w:t>
      </w:r>
      <w:proofErr w:type="spellStart"/>
      <w:r w:rsidRPr="00195EC9">
        <w:rPr>
          <w:rFonts w:ascii="Times New Roman" w:eastAsia="Times New Roman" w:hAnsi="Times New Roman" w:cs="Times New Roman"/>
          <w:sz w:val="28"/>
          <w:szCs w:val="28"/>
          <w:lang w:eastAsia="ru-RU"/>
        </w:rPr>
        <w:t>Бобровицької</w:t>
      </w:r>
      <w:proofErr w:type="spellEnd"/>
      <w:r w:rsidRPr="00195EC9">
        <w:rPr>
          <w:rFonts w:ascii="Times New Roman" w:eastAsia="Times New Roman" w:hAnsi="Times New Roman" w:cs="Times New Roman"/>
          <w:sz w:val="28"/>
          <w:szCs w:val="28"/>
          <w:lang w:eastAsia="ru-RU"/>
        </w:rPr>
        <w:t xml:space="preserve">  міської ради</w:t>
      </w:r>
    </w:p>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«Про внесення змін до рішення міської ради від 25.06.2019 №818-20/VІІ</w:t>
      </w:r>
    </w:p>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«Про встановлення місцевих податків і зборів на підвідомчій території </w:t>
      </w:r>
      <w:proofErr w:type="spellStart"/>
      <w:r w:rsidRPr="00195EC9">
        <w:rPr>
          <w:rFonts w:ascii="Times New Roman" w:eastAsia="Times New Roman" w:hAnsi="Times New Roman" w:cs="Times New Roman"/>
          <w:sz w:val="28"/>
          <w:szCs w:val="28"/>
          <w:lang w:eastAsia="ru-RU"/>
        </w:rPr>
        <w:t>Бобровицької</w:t>
      </w:r>
      <w:proofErr w:type="spellEnd"/>
      <w:r w:rsidRPr="00195EC9">
        <w:rPr>
          <w:rFonts w:ascii="Times New Roman" w:eastAsia="Times New Roman" w:hAnsi="Times New Roman" w:cs="Times New Roman"/>
          <w:sz w:val="28"/>
          <w:szCs w:val="28"/>
          <w:lang w:eastAsia="ru-RU"/>
        </w:rPr>
        <w:t xml:space="preserve"> міської ради  на 2020 рік»</w:t>
      </w:r>
    </w:p>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p>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p>
    <w:p w:rsidR="00195EC9" w:rsidRPr="00195EC9" w:rsidRDefault="00195EC9" w:rsidP="00195EC9">
      <w:pPr>
        <w:tabs>
          <w:tab w:val="left" w:pos="709"/>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Цей аналіз регуляторного впливу (надалі - Аналіз) розроблено на виконання та з дотриманням вимог Закону України «Про засади державної регуляторної політики в сфері господарської діяльності» від 11.09.2003  № 1160-IV, з урахуванням Методики проведення аналізу впливу регуляторного акта, затвердженої постановою Кабінету Міністрів України від 11.03.2004  № 308., з урахуванням зауважень , пропозицій та обговорення на засіданні сесії. Аналіз визначає правові та організаційні засади реалізації проекту </w:t>
      </w:r>
      <w:proofErr w:type="spellStart"/>
      <w:r w:rsidRPr="00195EC9">
        <w:rPr>
          <w:rFonts w:ascii="Times New Roman" w:eastAsia="Times New Roman" w:hAnsi="Times New Roman" w:cs="Times New Roman"/>
          <w:sz w:val="28"/>
          <w:szCs w:val="28"/>
          <w:lang w:eastAsia="ru-RU"/>
        </w:rPr>
        <w:t>Бобровицької</w:t>
      </w:r>
      <w:proofErr w:type="spellEnd"/>
      <w:r w:rsidRPr="00195EC9">
        <w:rPr>
          <w:rFonts w:ascii="Times New Roman" w:eastAsia="Times New Roman" w:hAnsi="Times New Roman" w:cs="Times New Roman"/>
          <w:sz w:val="28"/>
          <w:szCs w:val="28"/>
          <w:lang w:eastAsia="ru-RU"/>
        </w:rPr>
        <w:t xml:space="preserve">  міської ради  «Про встановлення ставок та пільг із сплати податку на нерухоме майно, відмінне від земельної ділянки,  на 2020 рік» стосовно кодів 1220 (підкод 1220.9), 1241 (підкод 1242,1), та переліку пільг для фізичних та юридичних осіб, наданих відповідно до підпункту 266.4.2 статті 266 Податкового Кодексу України, із сплати податку на нерухоме майно, відмінне від земельної ділянки.  </w:t>
      </w:r>
    </w:p>
    <w:p w:rsidR="00195EC9" w:rsidRPr="00195EC9" w:rsidRDefault="00195EC9" w:rsidP="00195EC9">
      <w:pPr>
        <w:tabs>
          <w:tab w:val="left" w:pos="709"/>
          <w:tab w:val="left" w:pos="900"/>
        </w:tabs>
        <w:spacing w:after="0" w:line="240" w:lineRule="auto"/>
        <w:jc w:val="both"/>
        <w:rPr>
          <w:rFonts w:ascii="Times New Roman" w:eastAsia="Times New Roman" w:hAnsi="Times New Roman" w:cs="Times New Roman"/>
          <w:sz w:val="12"/>
          <w:szCs w:val="12"/>
          <w:lang w:eastAsia="ru-RU"/>
        </w:rPr>
      </w:pPr>
    </w:p>
    <w:p w:rsidR="00195EC9" w:rsidRPr="00195EC9" w:rsidRDefault="00195EC9" w:rsidP="00195EC9">
      <w:pPr>
        <w:tabs>
          <w:tab w:val="left" w:pos="709"/>
          <w:tab w:val="left" w:pos="900"/>
        </w:tabs>
        <w:spacing w:after="0" w:line="240" w:lineRule="auto"/>
        <w:jc w:val="both"/>
        <w:rPr>
          <w:rFonts w:ascii="Times New Roman" w:eastAsia="Times New Roman" w:hAnsi="Times New Roman" w:cs="Times New Roman"/>
          <w:sz w:val="12"/>
          <w:szCs w:val="12"/>
          <w:lang w:eastAsia="ru-RU"/>
        </w:rPr>
      </w:pPr>
    </w:p>
    <w:p w:rsidR="00195EC9" w:rsidRPr="00195EC9" w:rsidRDefault="00195EC9" w:rsidP="00195EC9">
      <w:pPr>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val="en-US" w:eastAsia="ru-RU"/>
        </w:rPr>
        <w:t>I</w:t>
      </w:r>
      <w:r w:rsidRPr="00195EC9">
        <w:rPr>
          <w:rFonts w:ascii="Times New Roman" w:eastAsia="Times New Roman" w:hAnsi="Times New Roman" w:cs="Times New Roman"/>
          <w:sz w:val="28"/>
          <w:szCs w:val="28"/>
          <w:lang w:eastAsia="ru-RU"/>
        </w:rPr>
        <w:t>. Визначення проблеми</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З метою дотримання положень постанови Кабінету Міністрів України від 24.05.2017 № 483 «Про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 та підпункту 266.4.2 пункту 266.4 статті 266 Податкового кодексу України, необхідно встановити </w:t>
      </w:r>
      <w:r w:rsidRPr="00195EC9">
        <w:rPr>
          <w:rFonts w:ascii="Times New Roman" w:eastAsia="Times New Roman" w:hAnsi="Times New Roman" w:cs="Times New Roman"/>
          <w:sz w:val="24"/>
          <w:szCs w:val="24"/>
          <w:lang w:eastAsia="ru-RU"/>
        </w:rPr>
        <w:t xml:space="preserve"> </w:t>
      </w:r>
      <w:r w:rsidRPr="00195EC9">
        <w:rPr>
          <w:rFonts w:ascii="Times New Roman" w:eastAsia="Times New Roman" w:hAnsi="Times New Roman" w:cs="Times New Roman"/>
          <w:sz w:val="28"/>
          <w:szCs w:val="28"/>
          <w:lang w:eastAsia="ru-RU"/>
        </w:rPr>
        <w:t>ставки та пільги із сплати податку на нерухоме майно, відмінне від земельної ділянки, на 2020 рік.</w:t>
      </w:r>
    </w:p>
    <w:p w:rsidR="00195EC9" w:rsidRPr="00195EC9" w:rsidRDefault="00195EC9" w:rsidP="00195EC9">
      <w:pPr>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Діючим регуляторним актом, яким встановлено ставки податку на нерухоме майно, відмінне від земельної ділянки, є рішення </w:t>
      </w:r>
      <w:proofErr w:type="spellStart"/>
      <w:r w:rsidRPr="00195EC9">
        <w:rPr>
          <w:rFonts w:ascii="Times New Roman" w:eastAsia="Times New Roman" w:hAnsi="Times New Roman" w:cs="Times New Roman"/>
          <w:sz w:val="28"/>
          <w:szCs w:val="28"/>
          <w:lang w:eastAsia="ru-RU"/>
        </w:rPr>
        <w:t>Бобровицької</w:t>
      </w:r>
      <w:proofErr w:type="spellEnd"/>
      <w:r w:rsidRPr="00195EC9">
        <w:rPr>
          <w:rFonts w:ascii="Times New Roman" w:eastAsia="Times New Roman" w:hAnsi="Times New Roman" w:cs="Times New Roman"/>
          <w:sz w:val="28"/>
          <w:szCs w:val="28"/>
          <w:lang w:eastAsia="ru-RU"/>
        </w:rPr>
        <w:t xml:space="preserve"> міської ради від 25.06.2019 № 818-20/VІІ «Про встановлення ставок та пільг із сплати податку на нерухоме майно, відмінне від земельної ділянки,  на 2020 рік».</w:t>
      </w:r>
    </w:p>
    <w:p w:rsidR="00195EC9" w:rsidRPr="00195EC9" w:rsidRDefault="00195EC9" w:rsidP="00195EC9">
      <w:pPr>
        <w:tabs>
          <w:tab w:val="left" w:pos="709"/>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Податок на нерухоме майно, відмінне від земельної ділянки, є одним з джерел наповнення загального фонду бюджету міста. Надходження даного податку характеризуються позитивною динамікою.</w:t>
      </w:r>
    </w:p>
    <w:p w:rsidR="00195EC9" w:rsidRPr="00195EC9" w:rsidRDefault="00195EC9" w:rsidP="00195EC9">
      <w:pPr>
        <w:tabs>
          <w:tab w:val="left" w:pos="709"/>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У 2018 році надходження податку на нерухоме майно, відмінне від земельної ділянки, складали 1459,3 тис. грн.., що становило 1,18 % від доходів загального фонду бюджету   (без урахування офіційних трансфертів), у 2019 році   планується  отримати податку 1669,5 тис. грн.. що складає    1,28 %   бюджету.</w:t>
      </w:r>
    </w:p>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b/>
          <w:sz w:val="12"/>
          <w:szCs w:val="12"/>
          <w:lang w:eastAsia="ru-RU"/>
        </w:rPr>
      </w:pPr>
    </w:p>
    <w:p w:rsidR="00195EC9" w:rsidRPr="00195EC9" w:rsidRDefault="00195EC9" w:rsidP="00195EC9">
      <w:pPr>
        <w:tabs>
          <w:tab w:val="left" w:pos="709"/>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Проблема, яку пропонується розв’язати шляхом встановлення на території  </w:t>
      </w:r>
      <w:proofErr w:type="spellStart"/>
      <w:r w:rsidRPr="00195EC9">
        <w:rPr>
          <w:rFonts w:ascii="Times New Roman" w:eastAsia="Times New Roman" w:hAnsi="Times New Roman" w:cs="Times New Roman"/>
          <w:sz w:val="28"/>
          <w:szCs w:val="28"/>
          <w:lang w:eastAsia="ru-RU"/>
        </w:rPr>
        <w:t>Бобровицької</w:t>
      </w:r>
      <w:proofErr w:type="spellEnd"/>
      <w:r w:rsidRPr="00195EC9">
        <w:rPr>
          <w:rFonts w:ascii="Times New Roman" w:eastAsia="Times New Roman" w:hAnsi="Times New Roman" w:cs="Times New Roman"/>
          <w:sz w:val="28"/>
          <w:szCs w:val="28"/>
          <w:lang w:eastAsia="ru-RU"/>
        </w:rPr>
        <w:t xml:space="preserve"> міської ради ставок податку на нерухоме майно, відмінне від  земельної ділянки,</w:t>
      </w:r>
      <w:r w:rsidRPr="00195EC9">
        <w:rPr>
          <w:rFonts w:ascii="Times New Roman" w:eastAsia="Times New Roman" w:hAnsi="Times New Roman" w:cs="Times New Roman"/>
          <w:sz w:val="24"/>
          <w:szCs w:val="24"/>
          <w:lang w:eastAsia="ru-RU"/>
        </w:rPr>
        <w:t xml:space="preserve"> </w:t>
      </w:r>
      <w:r w:rsidRPr="00195EC9">
        <w:rPr>
          <w:rFonts w:ascii="Times New Roman" w:eastAsia="Times New Roman" w:hAnsi="Times New Roman" w:cs="Times New Roman"/>
          <w:sz w:val="28"/>
          <w:szCs w:val="28"/>
          <w:lang w:eastAsia="ru-RU"/>
        </w:rPr>
        <w:t>за кодами</w:t>
      </w:r>
      <w:r w:rsidRPr="00195EC9">
        <w:rPr>
          <w:rFonts w:ascii="Times New Roman" w:eastAsia="Times New Roman" w:hAnsi="Times New Roman" w:cs="Times New Roman"/>
          <w:sz w:val="24"/>
          <w:szCs w:val="24"/>
          <w:lang w:eastAsia="ru-RU"/>
        </w:rPr>
        <w:t xml:space="preserve">  </w:t>
      </w:r>
      <w:r w:rsidRPr="00195EC9">
        <w:rPr>
          <w:rFonts w:ascii="Times New Roman" w:eastAsia="Times New Roman" w:hAnsi="Times New Roman" w:cs="Times New Roman"/>
          <w:sz w:val="28"/>
          <w:szCs w:val="28"/>
          <w:lang w:eastAsia="ru-RU"/>
        </w:rPr>
        <w:t>Класифікації будівель та споруд, справляє вплив на такі основні групи (підгрупи):</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8"/>
          <w:szCs w:val="8"/>
          <w:lang w:eastAsia="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30"/>
        <w:gridCol w:w="2637"/>
        <w:gridCol w:w="2389"/>
      </w:tblGrid>
      <w:tr w:rsidR="00195EC9" w:rsidRPr="00195EC9" w:rsidTr="00AA0029">
        <w:trPr>
          <w:trHeight w:val="368"/>
        </w:trPr>
        <w:tc>
          <w:tcPr>
            <w:tcW w:w="4330" w:type="dxa"/>
            <w:shd w:val="clear" w:color="auto" w:fill="auto"/>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lastRenderedPageBreak/>
              <w:t>Групи (підгрупи)</w:t>
            </w:r>
          </w:p>
        </w:tc>
        <w:tc>
          <w:tcPr>
            <w:tcW w:w="2637" w:type="dxa"/>
            <w:shd w:val="clear" w:color="auto" w:fill="auto"/>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Так</w:t>
            </w:r>
          </w:p>
        </w:tc>
        <w:tc>
          <w:tcPr>
            <w:tcW w:w="2389" w:type="dxa"/>
            <w:shd w:val="clear" w:color="auto" w:fill="auto"/>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Ні</w:t>
            </w:r>
          </w:p>
        </w:tc>
      </w:tr>
      <w:tr w:rsidR="00195EC9" w:rsidRPr="00195EC9" w:rsidTr="00AA0029">
        <w:trPr>
          <w:trHeight w:val="418"/>
        </w:trPr>
        <w:tc>
          <w:tcPr>
            <w:tcW w:w="4330" w:type="dxa"/>
            <w:shd w:val="clear" w:color="auto" w:fill="auto"/>
            <w:vAlign w:val="bottom"/>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6"/>
                <w:szCs w:val="26"/>
                <w:lang w:eastAsia="ru-RU"/>
              </w:rPr>
            </w:pPr>
            <w:r w:rsidRPr="00195EC9">
              <w:rPr>
                <w:rFonts w:ascii="Times New Roman" w:eastAsia="Times New Roman" w:hAnsi="Times New Roman" w:cs="Times New Roman"/>
                <w:sz w:val="26"/>
                <w:szCs w:val="26"/>
                <w:lang w:eastAsia="ru-RU"/>
              </w:rPr>
              <w:t>Громадяни</w:t>
            </w:r>
          </w:p>
        </w:tc>
        <w:tc>
          <w:tcPr>
            <w:tcW w:w="2637" w:type="dxa"/>
            <w:shd w:val="clear" w:color="auto" w:fill="auto"/>
            <w:vAlign w:val="bottom"/>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6"/>
                <w:szCs w:val="26"/>
                <w:lang w:eastAsia="ru-RU"/>
              </w:rPr>
            </w:pPr>
            <w:r w:rsidRPr="00195EC9">
              <w:rPr>
                <w:rFonts w:ascii="Times New Roman" w:eastAsia="Times New Roman" w:hAnsi="Times New Roman" w:cs="Times New Roman"/>
                <w:sz w:val="26"/>
                <w:szCs w:val="26"/>
                <w:lang w:eastAsia="ru-RU"/>
              </w:rPr>
              <w:t>так</w:t>
            </w:r>
          </w:p>
        </w:tc>
        <w:tc>
          <w:tcPr>
            <w:tcW w:w="2389" w:type="dxa"/>
            <w:shd w:val="clear" w:color="auto" w:fill="auto"/>
            <w:vAlign w:val="bottom"/>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p>
        </w:tc>
      </w:tr>
      <w:tr w:rsidR="00195EC9" w:rsidRPr="00195EC9" w:rsidTr="00AA0029">
        <w:trPr>
          <w:trHeight w:val="411"/>
        </w:trPr>
        <w:tc>
          <w:tcPr>
            <w:tcW w:w="4330" w:type="dxa"/>
            <w:shd w:val="clear" w:color="auto" w:fill="auto"/>
            <w:vAlign w:val="bottom"/>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6"/>
                <w:szCs w:val="26"/>
                <w:lang w:eastAsia="ru-RU"/>
              </w:rPr>
            </w:pPr>
            <w:r w:rsidRPr="00195EC9">
              <w:rPr>
                <w:rFonts w:ascii="Times New Roman" w:eastAsia="Times New Roman" w:hAnsi="Times New Roman" w:cs="Times New Roman"/>
                <w:sz w:val="26"/>
                <w:szCs w:val="26"/>
                <w:lang w:eastAsia="ru-RU"/>
              </w:rPr>
              <w:t>Орган місцевого самоврядування</w:t>
            </w:r>
          </w:p>
        </w:tc>
        <w:tc>
          <w:tcPr>
            <w:tcW w:w="2637" w:type="dxa"/>
            <w:shd w:val="clear" w:color="auto" w:fill="auto"/>
            <w:vAlign w:val="bottom"/>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6"/>
                <w:szCs w:val="26"/>
                <w:lang w:eastAsia="ru-RU"/>
              </w:rPr>
            </w:pPr>
            <w:r w:rsidRPr="00195EC9">
              <w:rPr>
                <w:rFonts w:ascii="Times New Roman" w:eastAsia="Times New Roman" w:hAnsi="Times New Roman" w:cs="Times New Roman"/>
                <w:sz w:val="26"/>
                <w:szCs w:val="26"/>
                <w:lang w:eastAsia="ru-RU"/>
              </w:rPr>
              <w:t>так</w:t>
            </w:r>
          </w:p>
        </w:tc>
        <w:tc>
          <w:tcPr>
            <w:tcW w:w="2389" w:type="dxa"/>
            <w:shd w:val="clear" w:color="auto" w:fill="auto"/>
            <w:vAlign w:val="bottom"/>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p>
        </w:tc>
      </w:tr>
      <w:tr w:rsidR="00195EC9" w:rsidRPr="00195EC9" w:rsidTr="00AA0029">
        <w:trPr>
          <w:trHeight w:val="417"/>
        </w:trPr>
        <w:tc>
          <w:tcPr>
            <w:tcW w:w="4330" w:type="dxa"/>
            <w:shd w:val="clear" w:color="auto" w:fill="auto"/>
            <w:vAlign w:val="bottom"/>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6"/>
                <w:szCs w:val="26"/>
                <w:lang w:eastAsia="ru-RU"/>
              </w:rPr>
            </w:pPr>
            <w:proofErr w:type="spellStart"/>
            <w:r w:rsidRPr="00195EC9">
              <w:rPr>
                <w:rFonts w:ascii="Times New Roman" w:eastAsia="Times New Roman" w:hAnsi="Times New Roman" w:cs="Times New Roman"/>
                <w:sz w:val="26"/>
                <w:szCs w:val="26"/>
                <w:lang w:eastAsia="ru-RU"/>
              </w:rPr>
              <w:t>Суб</w:t>
            </w:r>
            <w:proofErr w:type="spellEnd"/>
            <w:r w:rsidRPr="00195EC9">
              <w:rPr>
                <w:rFonts w:ascii="Times New Roman" w:eastAsia="Times New Roman" w:hAnsi="Times New Roman" w:cs="Times New Roman"/>
                <w:sz w:val="26"/>
                <w:szCs w:val="26"/>
                <w:lang w:val="en-US" w:eastAsia="ru-RU"/>
              </w:rPr>
              <w:t>’</w:t>
            </w:r>
            <w:proofErr w:type="spellStart"/>
            <w:r w:rsidRPr="00195EC9">
              <w:rPr>
                <w:rFonts w:ascii="Times New Roman" w:eastAsia="Times New Roman" w:hAnsi="Times New Roman" w:cs="Times New Roman"/>
                <w:sz w:val="26"/>
                <w:szCs w:val="26"/>
                <w:lang w:eastAsia="ru-RU"/>
              </w:rPr>
              <w:t>єкти</w:t>
            </w:r>
            <w:proofErr w:type="spellEnd"/>
            <w:r w:rsidRPr="00195EC9">
              <w:rPr>
                <w:rFonts w:ascii="Times New Roman" w:eastAsia="Times New Roman" w:hAnsi="Times New Roman" w:cs="Times New Roman"/>
                <w:sz w:val="26"/>
                <w:szCs w:val="26"/>
                <w:lang w:eastAsia="ru-RU"/>
              </w:rPr>
              <w:t xml:space="preserve"> господарювання</w:t>
            </w:r>
          </w:p>
        </w:tc>
        <w:tc>
          <w:tcPr>
            <w:tcW w:w="2637" w:type="dxa"/>
            <w:shd w:val="clear" w:color="auto" w:fill="auto"/>
            <w:vAlign w:val="bottom"/>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6"/>
                <w:szCs w:val="26"/>
                <w:lang w:eastAsia="ru-RU"/>
              </w:rPr>
            </w:pPr>
            <w:r w:rsidRPr="00195EC9">
              <w:rPr>
                <w:rFonts w:ascii="Times New Roman" w:eastAsia="Times New Roman" w:hAnsi="Times New Roman" w:cs="Times New Roman"/>
                <w:sz w:val="26"/>
                <w:szCs w:val="26"/>
                <w:lang w:eastAsia="ru-RU"/>
              </w:rPr>
              <w:t>так</w:t>
            </w:r>
          </w:p>
        </w:tc>
        <w:tc>
          <w:tcPr>
            <w:tcW w:w="2389" w:type="dxa"/>
            <w:shd w:val="clear" w:color="auto" w:fill="auto"/>
            <w:vAlign w:val="bottom"/>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p>
        </w:tc>
      </w:tr>
      <w:tr w:rsidR="00195EC9" w:rsidRPr="00195EC9" w:rsidTr="00AA0029">
        <w:tc>
          <w:tcPr>
            <w:tcW w:w="4330" w:type="dxa"/>
            <w:shd w:val="clear" w:color="auto" w:fill="auto"/>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6"/>
                <w:szCs w:val="26"/>
                <w:lang w:eastAsia="ru-RU"/>
              </w:rPr>
            </w:pPr>
            <w:r w:rsidRPr="00195EC9">
              <w:rPr>
                <w:rFonts w:ascii="Times New Roman" w:eastAsia="Times New Roman" w:hAnsi="Times New Roman" w:cs="Times New Roman"/>
                <w:sz w:val="26"/>
                <w:szCs w:val="26"/>
                <w:lang w:eastAsia="ru-RU"/>
              </w:rPr>
              <w:t>у тому числі суб’єкти малого підприємництва</w:t>
            </w:r>
          </w:p>
        </w:tc>
        <w:tc>
          <w:tcPr>
            <w:tcW w:w="2637" w:type="dxa"/>
            <w:shd w:val="clear" w:color="auto" w:fill="auto"/>
            <w:vAlign w:val="bottom"/>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6"/>
                <w:szCs w:val="26"/>
                <w:lang w:eastAsia="ru-RU"/>
              </w:rPr>
            </w:pPr>
            <w:r w:rsidRPr="00195EC9">
              <w:rPr>
                <w:rFonts w:ascii="Times New Roman" w:eastAsia="Times New Roman" w:hAnsi="Times New Roman" w:cs="Times New Roman"/>
                <w:sz w:val="26"/>
                <w:szCs w:val="26"/>
                <w:lang w:eastAsia="ru-RU"/>
              </w:rPr>
              <w:t>так</w:t>
            </w:r>
          </w:p>
        </w:tc>
        <w:tc>
          <w:tcPr>
            <w:tcW w:w="2389" w:type="dxa"/>
            <w:shd w:val="clear" w:color="auto" w:fill="auto"/>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
        </w:tc>
      </w:tr>
    </w:tbl>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12"/>
          <w:szCs w:val="12"/>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val="en-US" w:eastAsia="ru-RU"/>
        </w:rPr>
        <w:t>II</w:t>
      </w:r>
      <w:r w:rsidRPr="00195EC9">
        <w:rPr>
          <w:rFonts w:ascii="Times New Roman" w:eastAsia="Times New Roman" w:hAnsi="Times New Roman" w:cs="Times New Roman"/>
          <w:sz w:val="28"/>
          <w:szCs w:val="28"/>
          <w:lang w:eastAsia="ru-RU"/>
        </w:rPr>
        <w:t>. Цілі державного регулювання</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Цілями регуляторного акта є:</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відкритість процедури, прозорість дій органу місцевого самоврядування при вирішенні питань, пов’язаних з забезпеченням дотримання вимог податкового законодавства зі справляння податку на нерухоме майно, відмінне від земельної ділянки, і встановлення пільг;</w:t>
      </w:r>
    </w:p>
    <w:p w:rsidR="00195EC9" w:rsidRPr="00195EC9" w:rsidRDefault="00195EC9" w:rsidP="00195EC9">
      <w:pPr>
        <w:tabs>
          <w:tab w:val="left" w:pos="142"/>
          <w:tab w:val="left" w:pos="567"/>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 наповнення доходної частини міського бюджету на виконання власних повноважень.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7"/>
          <w:szCs w:val="27"/>
          <w:lang w:eastAsia="ru-RU"/>
        </w:rPr>
      </w:pPr>
      <w:r w:rsidRPr="00195EC9">
        <w:rPr>
          <w:rFonts w:ascii="Times New Roman" w:eastAsia="Times New Roman" w:hAnsi="Times New Roman" w:cs="Times New Roman"/>
          <w:sz w:val="27"/>
          <w:szCs w:val="27"/>
          <w:lang w:eastAsia="ru-RU"/>
        </w:rPr>
        <w:t xml:space="preserve">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val="en-US" w:eastAsia="ru-RU"/>
        </w:rPr>
        <w:t>III</w:t>
      </w:r>
      <w:r w:rsidRPr="00195EC9">
        <w:rPr>
          <w:rFonts w:ascii="Times New Roman" w:eastAsia="Times New Roman" w:hAnsi="Times New Roman" w:cs="Times New Roman"/>
          <w:sz w:val="28"/>
          <w:szCs w:val="28"/>
          <w:lang w:eastAsia="ru-RU"/>
        </w:rPr>
        <w:t>. Визначення та оцінка альтернативних способів досягнення цілей</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
          <w:szCs w:val="2"/>
          <w:lang w:eastAsia="ru-RU"/>
        </w:rPr>
      </w:pPr>
    </w:p>
    <w:p w:rsidR="00195EC9" w:rsidRPr="00195EC9" w:rsidRDefault="00195EC9" w:rsidP="00195EC9">
      <w:pPr>
        <w:numPr>
          <w:ilvl w:val="0"/>
          <w:numId w:val="1"/>
        </w:num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Визначення альтернативних способів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
          <w:szCs w:val="2"/>
          <w:lang w:val="ru-RU"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4"/>
          <w:szCs w:val="24"/>
          <w:lang w:eastAsia="ru-RU"/>
        </w:rPr>
      </w:pPr>
      <w:r w:rsidRPr="00195EC9">
        <w:rPr>
          <w:rFonts w:ascii="Times New Roman" w:eastAsia="Times New Roman" w:hAnsi="Times New Roman" w:cs="Times New Roman"/>
          <w:sz w:val="28"/>
          <w:szCs w:val="28"/>
          <w:lang w:val="ru-RU" w:eastAsia="ru-RU"/>
        </w:rPr>
        <w:t xml:space="preserve">       </w:t>
      </w:r>
      <w:r w:rsidRPr="00195EC9">
        <w:rPr>
          <w:rFonts w:ascii="Times New Roman" w:eastAsia="Times New Roman" w:hAnsi="Times New Roman" w:cs="Times New Roman"/>
          <w:sz w:val="28"/>
          <w:szCs w:val="28"/>
          <w:lang w:eastAsia="ru-RU"/>
        </w:rPr>
        <w:t xml:space="preserve">  В процесі пошуку альтернативних способів досягнення визначених цілей доцільно розглянути такі можливості:</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8"/>
          <w:szCs w:val="8"/>
          <w:lang w:eastAsia="ru-RU"/>
        </w:rPr>
      </w:pPr>
    </w:p>
    <w:tbl>
      <w:tblPr>
        <w:tblW w:w="50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7795"/>
      </w:tblGrid>
      <w:tr w:rsidR="00195EC9" w:rsidRPr="00195EC9" w:rsidTr="00AA0029">
        <w:trPr>
          <w:trHeight w:val="453"/>
        </w:trPr>
        <w:tc>
          <w:tcPr>
            <w:tcW w:w="1072"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Вид альтернативи</w:t>
            </w:r>
          </w:p>
        </w:tc>
        <w:tc>
          <w:tcPr>
            <w:tcW w:w="3928"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Опис альтернативи</w:t>
            </w:r>
          </w:p>
        </w:tc>
      </w:tr>
      <w:tr w:rsidR="00195EC9" w:rsidRPr="00195EC9" w:rsidTr="00AA0029">
        <w:tc>
          <w:tcPr>
            <w:tcW w:w="1072"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Альтернатива 1</w:t>
            </w:r>
          </w:p>
        </w:tc>
        <w:tc>
          <w:tcPr>
            <w:tcW w:w="3928" w:type="pct"/>
          </w:tcPr>
          <w:p w:rsidR="00195EC9" w:rsidRPr="00195EC9" w:rsidRDefault="00195EC9" w:rsidP="00195EC9">
            <w:pPr>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Збереження наявного стану, рішення міської ради </w:t>
            </w:r>
            <w:r w:rsidRPr="00195EC9">
              <w:rPr>
                <w:rFonts w:ascii="Times New Roman" w:eastAsia="Times New Roman" w:hAnsi="Times New Roman" w:cs="Times New Roman"/>
                <w:sz w:val="28"/>
                <w:szCs w:val="28"/>
                <w:lang w:eastAsia="ru-RU"/>
              </w:rPr>
              <w:t>від 25</w:t>
            </w:r>
            <w:r w:rsidRPr="00195EC9">
              <w:rPr>
                <w:rFonts w:ascii="Times New Roman" w:eastAsia="Times New Roman" w:hAnsi="Times New Roman" w:cs="Times New Roman"/>
                <w:sz w:val="25"/>
                <w:szCs w:val="25"/>
                <w:lang w:eastAsia="ru-RU"/>
              </w:rPr>
              <w:t xml:space="preserve">.06.2019 </w:t>
            </w:r>
          </w:p>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5"/>
                <w:szCs w:val="25"/>
                <w:lang w:eastAsia="ru-RU"/>
              </w:rPr>
              <w:t>№ 818</w:t>
            </w:r>
            <w:r w:rsidRPr="00195EC9">
              <w:rPr>
                <w:rFonts w:ascii="Times New Roman" w:eastAsia="Times New Roman" w:hAnsi="Times New Roman" w:cs="Times New Roman"/>
                <w:sz w:val="28"/>
                <w:szCs w:val="28"/>
                <w:lang w:eastAsia="ru-RU"/>
              </w:rPr>
              <w:t>-20/VІІ</w:t>
            </w:r>
            <w:r w:rsidRPr="00195EC9">
              <w:rPr>
                <w:rFonts w:ascii="Times New Roman" w:eastAsia="Times New Roman" w:hAnsi="Times New Roman" w:cs="Times New Roman"/>
                <w:sz w:val="25"/>
                <w:szCs w:val="25"/>
                <w:lang w:eastAsia="ru-RU"/>
              </w:rPr>
              <w:t xml:space="preserve"> </w:t>
            </w:r>
            <w:r w:rsidRPr="00195EC9">
              <w:rPr>
                <w:rFonts w:ascii="Times New Roman" w:eastAsia="Times New Roman" w:hAnsi="Times New Roman" w:cs="Times New Roman"/>
                <w:sz w:val="28"/>
                <w:szCs w:val="28"/>
                <w:lang w:eastAsia="ru-RU"/>
              </w:rPr>
              <w:t xml:space="preserve">«Про встановлення місцевих податків і зборів на підвідомчій території </w:t>
            </w:r>
            <w:proofErr w:type="spellStart"/>
            <w:r w:rsidRPr="00195EC9">
              <w:rPr>
                <w:rFonts w:ascii="Times New Roman" w:eastAsia="Times New Roman" w:hAnsi="Times New Roman" w:cs="Times New Roman"/>
                <w:sz w:val="28"/>
                <w:szCs w:val="28"/>
                <w:lang w:eastAsia="ru-RU"/>
              </w:rPr>
              <w:t>Бобровицької</w:t>
            </w:r>
            <w:proofErr w:type="spellEnd"/>
            <w:r w:rsidRPr="00195EC9">
              <w:rPr>
                <w:rFonts w:ascii="Times New Roman" w:eastAsia="Times New Roman" w:hAnsi="Times New Roman" w:cs="Times New Roman"/>
                <w:sz w:val="28"/>
                <w:szCs w:val="28"/>
                <w:lang w:eastAsia="ru-RU"/>
              </w:rPr>
              <w:t xml:space="preserve"> міської ради  на 2020 рік»</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залишиться в дії</w:t>
            </w:r>
          </w:p>
        </w:tc>
      </w:tr>
      <w:tr w:rsidR="00195EC9" w:rsidRPr="00195EC9" w:rsidTr="00AA0029">
        <w:tc>
          <w:tcPr>
            <w:tcW w:w="1072"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Альтернатива 2</w:t>
            </w:r>
          </w:p>
        </w:tc>
        <w:tc>
          <w:tcPr>
            <w:tcW w:w="3928" w:type="pct"/>
          </w:tcPr>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5"/>
                <w:szCs w:val="25"/>
                <w:lang w:eastAsia="ru-RU"/>
              </w:rPr>
              <w:t xml:space="preserve">Ухвалення проекту рішення міської ради  </w:t>
            </w:r>
            <w:r w:rsidRPr="00195EC9">
              <w:rPr>
                <w:rFonts w:ascii="Times New Roman" w:eastAsia="Times New Roman" w:hAnsi="Times New Roman" w:cs="Times New Roman"/>
                <w:sz w:val="28"/>
                <w:szCs w:val="28"/>
                <w:lang w:eastAsia="ru-RU"/>
              </w:rPr>
              <w:t>«Про внесення змін до рішення міської ради від 25.06.2019 №818-20/VІІ</w:t>
            </w:r>
          </w:p>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«Про встановлення місцевих податків і зборів на підвідомчій території </w:t>
            </w:r>
            <w:proofErr w:type="spellStart"/>
            <w:r w:rsidRPr="00195EC9">
              <w:rPr>
                <w:rFonts w:ascii="Times New Roman" w:eastAsia="Times New Roman" w:hAnsi="Times New Roman" w:cs="Times New Roman"/>
                <w:sz w:val="28"/>
                <w:szCs w:val="28"/>
                <w:lang w:eastAsia="ru-RU"/>
              </w:rPr>
              <w:t>Бобровицької</w:t>
            </w:r>
            <w:proofErr w:type="spellEnd"/>
            <w:r w:rsidRPr="00195EC9">
              <w:rPr>
                <w:rFonts w:ascii="Times New Roman" w:eastAsia="Times New Roman" w:hAnsi="Times New Roman" w:cs="Times New Roman"/>
                <w:sz w:val="28"/>
                <w:szCs w:val="28"/>
                <w:lang w:eastAsia="ru-RU"/>
              </w:rPr>
              <w:t xml:space="preserve"> міської ради  на 2020 рік»</w:t>
            </w:r>
          </w:p>
          <w:p w:rsidR="00195EC9" w:rsidRPr="00195EC9" w:rsidRDefault="00195EC9" w:rsidP="00195EC9">
            <w:pPr>
              <w:spacing w:after="0" w:line="240" w:lineRule="auto"/>
              <w:jc w:val="center"/>
              <w:rPr>
                <w:rFonts w:ascii="Times New Roman" w:eastAsia="Times New Roman" w:hAnsi="Times New Roman" w:cs="Times New Roman"/>
                <w:sz w:val="28"/>
                <w:szCs w:val="28"/>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
        </w:tc>
      </w:tr>
    </w:tbl>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
          <w:szCs w:val="2"/>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4"/>
          <w:szCs w:val="4"/>
          <w:lang w:eastAsia="ru-RU"/>
        </w:rPr>
      </w:pPr>
    </w:p>
    <w:p w:rsidR="00195EC9" w:rsidRPr="00195EC9" w:rsidRDefault="00195EC9" w:rsidP="00195EC9">
      <w:pPr>
        <w:numPr>
          <w:ilvl w:val="0"/>
          <w:numId w:val="1"/>
        </w:numPr>
        <w:tabs>
          <w:tab w:val="left" w:pos="567"/>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Оцінка вибраних альтернативних способів досягнення цілей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
          <w:szCs w:val="2"/>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Оцінка впливу на сферу інтересів органу місцевого самоврядування:</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8"/>
          <w:szCs w:val="8"/>
          <w:lang w:eastAsia="ru-RU"/>
        </w:rPr>
      </w:pP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5137"/>
      </w:tblGrid>
      <w:tr w:rsidR="00195EC9" w:rsidRPr="00195EC9" w:rsidTr="00AA0029">
        <w:tc>
          <w:tcPr>
            <w:tcW w:w="1951"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Вид альтернативи</w:t>
            </w:r>
          </w:p>
        </w:tc>
        <w:tc>
          <w:tcPr>
            <w:tcW w:w="2693"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Вигоди</w:t>
            </w:r>
          </w:p>
        </w:tc>
        <w:tc>
          <w:tcPr>
            <w:tcW w:w="5137"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Витрати</w:t>
            </w:r>
          </w:p>
        </w:tc>
      </w:tr>
      <w:tr w:rsidR="00195EC9" w:rsidRPr="00195EC9" w:rsidTr="00AA0029">
        <w:trPr>
          <w:trHeight w:val="10336"/>
        </w:trPr>
        <w:tc>
          <w:tcPr>
            <w:tcW w:w="1951"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Альтернатива 1</w:t>
            </w:r>
          </w:p>
        </w:tc>
        <w:tc>
          <w:tcPr>
            <w:tcW w:w="2693"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Вигоди відсутні</w:t>
            </w:r>
          </w:p>
        </w:tc>
        <w:tc>
          <w:tcPr>
            <w:tcW w:w="5137"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Альтернатива 1 є неприйнятною, оскільки  абзацом четвертим підпункту 266.4.2 пункту 266.4 статті 266 Податкового кодексу України встановлено, що органи місцевого самоврядування до 25 грудня року, що передує звітному, подають відповідному контролюючому органу за </w:t>
            </w:r>
            <w:proofErr w:type="spellStart"/>
            <w:r w:rsidRPr="00195EC9">
              <w:rPr>
                <w:rFonts w:ascii="Times New Roman" w:eastAsia="Times New Roman" w:hAnsi="Times New Roman" w:cs="Times New Roman"/>
                <w:sz w:val="25"/>
                <w:szCs w:val="25"/>
                <w:lang w:eastAsia="ru-RU"/>
              </w:rPr>
              <w:t>місцезнаход-женням</w:t>
            </w:r>
            <w:proofErr w:type="spellEnd"/>
            <w:r w:rsidRPr="00195EC9">
              <w:rPr>
                <w:rFonts w:ascii="Times New Roman" w:eastAsia="Times New Roman" w:hAnsi="Times New Roman" w:cs="Times New Roman"/>
                <w:sz w:val="25"/>
                <w:szCs w:val="25"/>
                <w:lang w:eastAsia="ru-RU"/>
              </w:rPr>
              <w:t xml:space="preserve">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  Типові форми таких рішень затверджені постановою КМУ від 24.05.2017 № 483.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Крім того, в разі невнесення змін до  рішення міської ради  «Про встановлення ставок та пільг із сплати податку на нерухоме майно, відмінне від  земельної ділянки,  на 2020 рік», виходячи з положень </w:t>
            </w:r>
            <w:r w:rsidRPr="00195EC9">
              <w:rPr>
                <w:rFonts w:ascii="Times New Roman" w:eastAsia="Times New Roman" w:hAnsi="Times New Roman" w:cs="Times New Roman"/>
                <w:i/>
                <w:iCs/>
                <w:color w:val="000000"/>
                <w:sz w:val="24"/>
                <w:szCs w:val="24"/>
                <w:shd w:val="clear" w:color="auto" w:fill="FFFFFF"/>
                <w:lang w:eastAsia="ru-RU"/>
              </w:rPr>
              <w:t xml:space="preserve"> </w:t>
            </w:r>
            <w:r w:rsidRPr="00195EC9">
              <w:rPr>
                <w:rFonts w:ascii="Times New Roman" w:eastAsia="Times New Roman" w:hAnsi="Times New Roman" w:cs="Times New Roman"/>
                <w:iCs/>
                <w:color w:val="000000"/>
                <w:sz w:val="24"/>
                <w:szCs w:val="24"/>
                <w:shd w:val="clear" w:color="auto" w:fill="FFFFFF"/>
                <w:lang w:eastAsia="ru-RU"/>
              </w:rPr>
              <w:t xml:space="preserve">підпункту 12.3.5 пункту 12.3 статті 12 Податкового кодексу України, </w:t>
            </w:r>
            <w:r w:rsidRPr="00195EC9">
              <w:rPr>
                <w:rFonts w:ascii="Times New Roman" w:eastAsia="Times New Roman" w:hAnsi="Times New Roman" w:cs="Times New Roman"/>
                <w:sz w:val="25"/>
                <w:szCs w:val="25"/>
                <w:lang w:eastAsia="ru-RU"/>
              </w:rPr>
              <w:t xml:space="preserve">  податок на нерухоме майно, відмінне від  земельної ділянки, на території </w:t>
            </w:r>
            <w:proofErr w:type="spellStart"/>
            <w:r w:rsidRPr="00195EC9">
              <w:rPr>
                <w:rFonts w:ascii="Times New Roman" w:eastAsia="Times New Roman" w:hAnsi="Times New Roman" w:cs="Times New Roman"/>
                <w:sz w:val="25"/>
                <w:szCs w:val="25"/>
                <w:lang w:eastAsia="ru-RU"/>
              </w:rPr>
              <w:t>Бобровицької</w:t>
            </w:r>
            <w:proofErr w:type="spellEnd"/>
            <w:r w:rsidRPr="00195EC9">
              <w:rPr>
                <w:rFonts w:ascii="Times New Roman" w:eastAsia="Times New Roman" w:hAnsi="Times New Roman" w:cs="Times New Roman"/>
                <w:sz w:val="25"/>
                <w:szCs w:val="25"/>
                <w:lang w:eastAsia="ru-RU"/>
              </w:rPr>
              <w:t xml:space="preserve"> міської ради у 2020 році справлятиметься за ставкою «1».  Внаслідок чого збільшиться податкове навантаження на </w:t>
            </w:r>
            <w:proofErr w:type="spellStart"/>
            <w:r w:rsidRPr="00195EC9">
              <w:rPr>
                <w:rFonts w:ascii="Times New Roman" w:eastAsia="Times New Roman" w:hAnsi="Times New Roman" w:cs="Times New Roman"/>
                <w:sz w:val="25"/>
                <w:szCs w:val="25"/>
                <w:lang w:eastAsia="ru-RU"/>
              </w:rPr>
              <w:t>сільгосптоваровиробників</w:t>
            </w:r>
            <w:proofErr w:type="spellEnd"/>
            <w:r w:rsidRPr="00195EC9">
              <w:rPr>
                <w:rFonts w:ascii="Times New Roman" w:eastAsia="Times New Roman" w:hAnsi="Times New Roman" w:cs="Times New Roman"/>
                <w:sz w:val="25"/>
                <w:szCs w:val="25"/>
                <w:lang w:eastAsia="ru-RU"/>
              </w:rPr>
              <w:t xml:space="preserve">, які є основними наповнювачами бюджету та на  підприємства, що здійснюють </w:t>
            </w:r>
            <w:proofErr w:type="spellStart"/>
            <w:r w:rsidRPr="00195EC9">
              <w:rPr>
                <w:rFonts w:ascii="Times New Roman" w:eastAsia="Times New Roman" w:hAnsi="Times New Roman" w:cs="Times New Roman"/>
                <w:sz w:val="25"/>
                <w:szCs w:val="25"/>
                <w:lang w:eastAsia="ru-RU"/>
              </w:rPr>
              <w:t>пасажироперевезення</w:t>
            </w:r>
            <w:proofErr w:type="spellEnd"/>
            <w:r w:rsidRPr="00195EC9">
              <w:rPr>
                <w:rFonts w:ascii="Times New Roman" w:eastAsia="Times New Roman" w:hAnsi="Times New Roman" w:cs="Times New Roman"/>
                <w:sz w:val="25"/>
                <w:szCs w:val="25"/>
                <w:lang w:eastAsia="ru-RU"/>
              </w:rPr>
              <w:t>. У вказаних платників податків погіршиться фінансове становище, не всі зможуть сплатити податки, і як результат - втрати  бюджету громади, збільшення собівартості сільгосппродукції,та зростання тарифів на перевезення пасажирів. .</w:t>
            </w:r>
            <w:r w:rsidRPr="00195EC9">
              <w:rPr>
                <w:rFonts w:ascii="Times New Roman" w:eastAsia="Times New Roman" w:hAnsi="Times New Roman" w:cs="Times New Roman"/>
                <w:i/>
                <w:iCs/>
                <w:color w:val="000000"/>
                <w:sz w:val="24"/>
                <w:szCs w:val="24"/>
                <w:shd w:val="clear" w:color="auto" w:fill="FFFFFF"/>
                <w:lang w:val="ru-RU" w:eastAsia="ru-RU"/>
              </w:rPr>
              <w:t> </w:t>
            </w:r>
          </w:p>
        </w:tc>
      </w:tr>
      <w:tr w:rsidR="00195EC9" w:rsidRPr="00195EC9" w:rsidTr="00AA0029">
        <w:trPr>
          <w:trHeight w:val="1266"/>
        </w:trPr>
        <w:tc>
          <w:tcPr>
            <w:tcW w:w="1951"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Альтернатива 2</w:t>
            </w:r>
          </w:p>
        </w:tc>
        <w:tc>
          <w:tcPr>
            <w:tcW w:w="2693"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720"/>
                <w:tab w:val="left" w:pos="900"/>
                <w:tab w:val="left" w:pos="1451"/>
                <w:tab w:val="left" w:pos="1593"/>
                <w:tab w:val="left" w:pos="2212"/>
              </w:tabs>
              <w:spacing w:after="0" w:line="240" w:lineRule="auto"/>
              <w:rPr>
                <w:rFonts w:ascii="Times New Roman" w:eastAsia="Times New Roman" w:hAnsi="Times New Roman" w:cs="Times New Roman"/>
                <w:sz w:val="25"/>
                <w:szCs w:val="25"/>
                <w:lang w:eastAsia="ru-RU"/>
              </w:rPr>
            </w:pPr>
          </w:p>
          <w:p w:rsidR="00195EC9" w:rsidRPr="00195EC9" w:rsidRDefault="00195EC9" w:rsidP="00195EC9">
            <w:pPr>
              <w:tabs>
                <w:tab w:val="left" w:pos="720"/>
                <w:tab w:val="left" w:pos="900"/>
                <w:tab w:val="left" w:pos="1451"/>
                <w:tab w:val="left" w:pos="1593"/>
                <w:tab w:val="left" w:pos="2212"/>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Встановлення на території </w:t>
            </w:r>
            <w:proofErr w:type="spellStart"/>
            <w:r w:rsidRPr="00195EC9">
              <w:rPr>
                <w:rFonts w:ascii="Times New Roman" w:eastAsia="Times New Roman" w:hAnsi="Times New Roman" w:cs="Times New Roman"/>
                <w:sz w:val="25"/>
                <w:szCs w:val="25"/>
                <w:lang w:eastAsia="ru-RU"/>
              </w:rPr>
              <w:t>Бобровицької</w:t>
            </w:r>
            <w:proofErr w:type="spellEnd"/>
            <w:r w:rsidRPr="00195EC9">
              <w:rPr>
                <w:rFonts w:ascii="Times New Roman" w:eastAsia="Times New Roman" w:hAnsi="Times New Roman" w:cs="Times New Roman"/>
                <w:sz w:val="25"/>
                <w:szCs w:val="25"/>
                <w:lang w:eastAsia="ru-RU"/>
              </w:rPr>
              <w:t xml:space="preserve">  міської ради ставок податку на нерухоме майно, відмінне від  земельної ділянки, за </w:t>
            </w:r>
            <w:r w:rsidRPr="00195EC9">
              <w:rPr>
                <w:rFonts w:ascii="Times New Roman" w:eastAsia="Times New Roman" w:hAnsi="Times New Roman" w:cs="Times New Roman"/>
                <w:sz w:val="24"/>
                <w:szCs w:val="24"/>
                <w:lang w:val="ru-RU" w:eastAsia="ru-RU"/>
              </w:rPr>
              <w:t xml:space="preserve"> </w:t>
            </w:r>
            <w:r w:rsidRPr="00195EC9">
              <w:rPr>
                <w:rFonts w:ascii="Times New Roman" w:eastAsia="Times New Roman" w:hAnsi="Times New Roman" w:cs="Times New Roman"/>
                <w:sz w:val="25"/>
                <w:szCs w:val="25"/>
                <w:lang w:eastAsia="ru-RU"/>
              </w:rPr>
              <w:t>кодами  Класифікації будівель та споруд.</w:t>
            </w:r>
          </w:p>
          <w:p w:rsidR="00195EC9" w:rsidRPr="00195EC9" w:rsidRDefault="00195EC9" w:rsidP="00195EC9">
            <w:pPr>
              <w:tabs>
                <w:tab w:val="left" w:pos="720"/>
                <w:tab w:val="left" w:pos="900"/>
                <w:tab w:val="left" w:pos="1451"/>
                <w:tab w:val="left" w:pos="1593"/>
                <w:tab w:val="left" w:pos="2212"/>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Реалізація права міською радою, наданого пунктом  28 частини </w:t>
            </w:r>
            <w:r w:rsidRPr="00195EC9">
              <w:rPr>
                <w:rFonts w:ascii="Times New Roman" w:eastAsia="Times New Roman" w:hAnsi="Times New Roman" w:cs="Times New Roman"/>
                <w:sz w:val="25"/>
                <w:szCs w:val="25"/>
                <w:lang w:val="en-US" w:eastAsia="ru-RU"/>
              </w:rPr>
              <w:t>I</w:t>
            </w:r>
            <w:r w:rsidRPr="00195EC9">
              <w:rPr>
                <w:rFonts w:ascii="Times New Roman" w:eastAsia="Times New Roman" w:hAnsi="Times New Roman" w:cs="Times New Roman"/>
                <w:sz w:val="25"/>
                <w:szCs w:val="25"/>
                <w:lang w:eastAsia="ru-RU"/>
              </w:rPr>
              <w:t xml:space="preserve"> статті 26 Закону України «Про </w:t>
            </w:r>
            <w:r w:rsidRPr="00195EC9">
              <w:rPr>
                <w:rFonts w:ascii="Times New Roman" w:eastAsia="Times New Roman" w:hAnsi="Times New Roman" w:cs="Times New Roman"/>
                <w:sz w:val="25"/>
                <w:szCs w:val="25"/>
                <w:lang w:eastAsia="ru-RU"/>
              </w:rPr>
              <w:lastRenderedPageBreak/>
              <w:t xml:space="preserve">місцеве </w:t>
            </w:r>
            <w:proofErr w:type="spellStart"/>
            <w:r w:rsidRPr="00195EC9">
              <w:rPr>
                <w:rFonts w:ascii="Times New Roman" w:eastAsia="Times New Roman" w:hAnsi="Times New Roman" w:cs="Times New Roman"/>
                <w:sz w:val="25"/>
                <w:szCs w:val="25"/>
                <w:lang w:eastAsia="ru-RU"/>
              </w:rPr>
              <w:t>самовря-дування</w:t>
            </w:r>
            <w:proofErr w:type="spellEnd"/>
            <w:r w:rsidRPr="00195EC9">
              <w:rPr>
                <w:rFonts w:ascii="Times New Roman" w:eastAsia="Times New Roman" w:hAnsi="Times New Roman" w:cs="Times New Roman"/>
                <w:sz w:val="25"/>
                <w:szCs w:val="25"/>
                <w:lang w:eastAsia="ru-RU"/>
              </w:rPr>
              <w:t xml:space="preserve"> в Україні»</w:t>
            </w:r>
          </w:p>
        </w:tc>
        <w:tc>
          <w:tcPr>
            <w:tcW w:w="5137"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spacing w:after="0" w:line="240" w:lineRule="auto"/>
              <w:rPr>
                <w:rFonts w:ascii="Times New Roman" w:eastAsia="Times New Roman" w:hAnsi="Times New Roman" w:cs="Times New Roman"/>
                <w:sz w:val="25"/>
                <w:szCs w:val="25"/>
                <w:lang w:eastAsia="ru-RU"/>
              </w:rPr>
            </w:pPr>
          </w:p>
          <w:p w:rsidR="00195EC9" w:rsidRPr="00195EC9" w:rsidRDefault="00195EC9" w:rsidP="00195EC9">
            <w:pPr>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Витрати робочого часу спеціалістів, пов’язані з підготовкою регуляторного акта; витрати на інформування платників податку з питань державного регулювання,.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
        </w:tc>
      </w:tr>
    </w:tbl>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16"/>
          <w:szCs w:val="16"/>
          <w:lang w:eastAsia="ru-RU"/>
        </w:rPr>
      </w:pPr>
      <w:r w:rsidRPr="00195EC9">
        <w:rPr>
          <w:rFonts w:ascii="Times New Roman" w:eastAsia="Times New Roman" w:hAnsi="Times New Roman" w:cs="Times New Roman"/>
          <w:sz w:val="28"/>
          <w:szCs w:val="28"/>
          <w:lang w:eastAsia="ru-RU"/>
        </w:rPr>
        <w:lastRenderedPageBreak/>
        <w:t xml:space="preserve">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Оцінка впливу на сферу інтересів громадян:</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8"/>
          <w:szCs w:val="8"/>
          <w:lang w:eastAsia="ru-RU"/>
        </w:rPr>
      </w:pPr>
    </w:p>
    <w:p w:rsidR="00195EC9" w:rsidRPr="00195EC9" w:rsidRDefault="00195EC9" w:rsidP="00195EC9">
      <w:pPr>
        <w:tabs>
          <w:tab w:val="left" w:pos="900"/>
        </w:tabs>
        <w:spacing w:after="0" w:line="240" w:lineRule="auto"/>
        <w:jc w:val="both"/>
        <w:rPr>
          <w:rFonts w:ascii="Times New Roman" w:eastAsia="Times New Roman" w:hAnsi="Times New Roman" w:cs="Times New Roman"/>
          <w:sz w:val="2"/>
          <w:szCs w:val="2"/>
          <w:lang w:eastAsia="ru-RU"/>
        </w:rPr>
      </w:pP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685"/>
        <w:gridCol w:w="3861"/>
      </w:tblGrid>
      <w:tr w:rsidR="00195EC9" w:rsidRPr="00195EC9" w:rsidTr="00AA0029">
        <w:tc>
          <w:tcPr>
            <w:tcW w:w="2235"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180"/>
                <w:tab w:val="left" w:pos="720"/>
                <w:tab w:val="left" w:pos="900"/>
              </w:tabs>
              <w:spacing w:after="0" w:line="240" w:lineRule="auto"/>
              <w:jc w:val="both"/>
              <w:rPr>
                <w:rFonts w:ascii="Times New Roman" w:eastAsia="Times New Roman" w:hAnsi="Times New Roman" w:cs="Times New Roman"/>
                <w:sz w:val="25"/>
                <w:szCs w:val="25"/>
                <w:lang w:val="ru-RU" w:eastAsia="ru-RU"/>
              </w:rPr>
            </w:pPr>
            <w:r w:rsidRPr="00195EC9">
              <w:rPr>
                <w:rFonts w:ascii="Times New Roman" w:eastAsia="Times New Roman" w:hAnsi="Times New Roman" w:cs="Times New Roman"/>
                <w:sz w:val="25"/>
                <w:szCs w:val="25"/>
                <w:lang w:val="ru-RU" w:eastAsia="ru-RU"/>
              </w:rPr>
              <w:t xml:space="preserve">Вид </w:t>
            </w:r>
            <w:proofErr w:type="spellStart"/>
            <w:r w:rsidRPr="00195EC9">
              <w:rPr>
                <w:rFonts w:ascii="Times New Roman" w:eastAsia="Times New Roman" w:hAnsi="Times New Roman" w:cs="Times New Roman"/>
                <w:sz w:val="25"/>
                <w:szCs w:val="25"/>
                <w:lang w:val="ru-RU" w:eastAsia="ru-RU"/>
              </w:rPr>
              <w:t>альтернативи</w:t>
            </w:r>
            <w:proofErr w:type="spellEnd"/>
          </w:p>
        </w:tc>
        <w:tc>
          <w:tcPr>
            <w:tcW w:w="3685"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proofErr w:type="spellStart"/>
            <w:r w:rsidRPr="00195EC9">
              <w:rPr>
                <w:rFonts w:ascii="Times New Roman" w:eastAsia="Times New Roman" w:hAnsi="Times New Roman" w:cs="Times New Roman"/>
                <w:sz w:val="25"/>
                <w:szCs w:val="25"/>
                <w:lang w:val="ru-RU" w:eastAsia="ru-RU"/>
              </w:rPr>
              <w:t>Вигоди</w:t>
            </w:r>
            <w:proofErr w:type="spellEnd"/>
          </w:p>
        </w:tc>
        <w:tc>
          <w:tcPr>
            <w:tcW w:w="3861"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proofErr w:type="spellStart"/>
            <w:r w:rsidRPr="00195EC9">
              <w:rPr>
                <w:rFonts w:ascii="Times New Roman" w:eastAsia="Times New Roman" w:hAnsi="Times New Roman" w:cs="Times New Roman"/>
                <w:sz w:val="25"/>
                <w:szCs w:val="25"/>
                <w:lang w:val="ru-RU" w:eastAsia="ru-RU"/>
              </w:rPr>
              <w:t>Витрати</w:t>
            </w:r>
            <w:proofErr w:type="spellEnd"/>
          </w:p>
        </w:tc>
      </w:tr>
      <w:tr w:rsidR="00195EC9" w:rsidRPr="00195EC9" w:rsidTr="00AA0029">
        <w:trPr>
          <w:trHeight w:val="539"/>
        </w:trPr>
        <w:tc>
          <w:tcPr>
            <w:tcW w:w="2235"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val="ru-RU" w:eastAsia="ru-RU"/>
              </w:rPr>
            </w:pPr>
            <w:r w:rsidRPr="00195EC9">
              <w:rPr>
                <w:rFonts w:ascii="Times New Roman" w:eastAsia="Times New Roman" w:hAnsi="Times New Roman" w:cs="Times New Roman"/>
                <w:sz w:val="25"/>
                <w:szCs w:val="25"/>
                <w:lang w:val="ru-RU" w:eastAsia="ru-RU"/>
              </w:rPr>
              <w:t>Альтернатива 1</w:t>
            </w:r>
          </w:p>
        </w:tc>
        <w:tc>
          <w:tcPr>
            <w:tcW w:w="3685"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Відсутні</w:t>
            </w:r>
          </w:p>
        </w:tc>
        <w:tc>
          <w:tcPr>
            <w:tcW w:w="3861"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Відсутні </w:t>
            </w:r>
          </w:p>
        </w:tc>
      </w:tr>
      <w:tr w:rsidR="00195EC9" w:rsidRPr="00195EC9" w:rsidTr="00AA0029">
        <w:trPr>
          <w:trHeight w:val="703"/>
        </w:trPr>
        <w:tc>
          <w:tcPr>
            <w:tcW w:w="2235"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roofErr w:type="spellStart"/>
            <w:r w:rsidRPr="00195EC9">
              <w:rPr>
                <w:rFonts w:ascii="Times New Roman" w:eastAsia="Times New Roman" w:hAnsi="Times New Roman" w:cs="Times New Roman"/>
                <w:sz w:val="25"/>
                <w:szCs w:val="25"/>
                <w:lang w:eastAsia="ru-RU"/>
              </w:rPr>
              <w:t>Алтернатива</w:t>
            </w:r>
            <w:proofErr w:type="spellEnd"/>
            <w:r w:rsidRPr="00195EC9">
              <w:rPr>
                <w:rFonts w:ascii="Times New Roman" w:eastAsia="Times New Roman" w:hAnsi="Times New Roman" w:cs="Times New Roman"/>
                <w:sz w:val="25"/>
                <w:szCs w:val="25"/>
                <w:lang w:eastAsia="ru-RU"/>
              </w:rPr>
              <w:t xml:space="preserve"> 2</w:t>
            </w:r>
          </w:p>
        </w:tc>
        <w:tc>
          <w:tcPr>
            <w:tcW w:w="3685"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Зростання економічного та соціального розвитку міста внаслідок спрямування додаткового ресурсу на забезпечення життєдіяльності громади</w:t>
            </w:r>
          </w:p>
        </w:tc>
        <w:tc>
          <w:tcPr>
            <w:tcW w:w="3861"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Сплата власниками об’єктів житлової та/або нежитлової нерухомості податку на нерухоме майно, відмінне від земельної ділянки</w:t>
            </w:r>
          </w:p>
        </w:tc>
      </w:tr>
    </w:tbl>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
          <w:szCs w:val="2"/>
          <w:lang w:eastAsia="ru-RU"/>
        </w:rPr>
      </w:pPr>
      <w:r w:rsidRPr="00195EC9">
        <w:rPr>
          <w:rFonts w:ascii="Times New Roman" w:eastAsia="Times New Roman" w:hAnsi="Times New Roman" w:cs="Times New Roman"/>
          <w:sz w:val="28"/>
          <w:szCs w:val="28"/>
          <w:lang w:eastAsia="ru-RU"/>
        </w:rPr>
        <w:t xml:space="preserve">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8"/>
          <w:szCs w:val="8"/>
          <w:lang w:eastAsia="ru-RU"/>
        </w:rPr>
      </w:pPr>
      <w:r w:rsidRPr="00195EC9">
        <w:rPr>
          <w:rFonts w:ascii="Times New Roman" w:eastAsia="Times New Roman" w:hAnsi="Times New Roman" w:cs="Times New Roman"/>
          <w:sz w:val="28"/>
          <w:szCs w:val="28"/>
          <w:lang w:eastAsia="ru-RU"/>
        </w:rPr>
        <w:t xml:space="preserve">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16"/>
          <w:szCs w:val="16"/>
          <w:lang w:eastAsia="ru-RU"/>
        </w:rPr>
      </w:pPr>
      <w:r w:rsidRPr="00195EC9">
        <w:rPr>
          <w:rFonts w:ascii="Times New Roman" w:eastAsia="Times New Roman" w:hAnsi="Times New Roman" w:cs="Times New Roman"/>
          <w:sz w:val="28"/>
          <w:szCs w:val="28"/>
          <w:lang w:eastAsia="ru-RU"/>
        </w:rPr>
        <w:t xml:space="preserve">         Оцінка впливу на сферу інтересів суб’єктів господарювання:</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4"/>
          <w:szCs w:val="4"/>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
          <w:szCs w:val="2"/>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08" w:tblpY="1"/>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071"/>
        <w:gridCol w:w="4853"/>
      </w:tblGrid>
      <w:tr w:rsidR="00195EC9" w:rsidRPr="00195EC9" w:rsidTr="00AA0029">
        <w:tc>
          <w:tcPr>
            <w:tcW w:w="2093"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r w:rsidRPr="00195EC9">
              <w:rPr>
                <w:rFonts w:ascii="Times New Roman" w:eastAsia="Times New Roman" w:hAnsi="Times New Roman" w:cs="Times New Roman"/>
                <w:sz w:val="25"/>
                <w:szCs w:val="25"/>
                <w:lang w:val="ru-RU" w:eastAsia="ru-RU"/>
              </w:rPr>
              <w:t xml:space="preserve">Вид </w:t>
            </w:r>
            <w:proofErr w:type="spellStart"/>
            <w:r w:rsidRPr="00195EC9">
              <w:rPr>
                <w:rFonts w:ascii="Times New Roman" w:eastAsia="Times New Roman" w:hAnsi="Times New Roman" w:cs="Times New Roman"/>
                <w:sz w:val="25"/>
                <w:szCs w:val="25"/>
                <w:lang w:val="ru-RU" w:eastAsia="ru-RU"/>
              </w:rPr>
              <w:t>альтернативи</w:t>
            </w:r>
            <w:proofErr w:type="spellEnd"/>
          </w:p>
        </w:tc>
        <w:tc>
          <w:tcPr>
            <w:tcW w:w="3071"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proofErr w:type="spellStart"/>
            <w:r w:rsidRPr="00195EC9">
              <w:rPr>
                <w:rFonts w:ascii="Times New Roman" w:eastAsia="Times New Roman" w:hAnsi="Times New Roman" w:cs="Times New Roman"/>
                <w:sz w:val="25"/>
                <w:szCs w:val="25"/>
                <w:lang w:val="ru-RU" w:eastAsia="ru-RU"/>
              </w:rPr>
              <w:t>Вигоди</w:t>
            </w:r>
            <w:proofErr w:type="spellEnd"/>
          </w:p>
        </w:tc>
        <w:tc>
          <w:tcPr>
            <w:tcW w:w="4853"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proofErr w:type="spellStart"/>
            <w:r w:rsidRPr="00195EC9">
              <w:rPr>
                <w:rFonts w:ascii="Times New Roman" w:eastAsia="Times New Roman" w:hAnsi="Times New Roman" w:cs="Times New Roman"/>
                <w:sz w:val="25"/>
                <w:szCs w:val="25"/>
                <w:lang w:val="ru-RU" w:eastAsia="ru-RU"/>
              </w:rPr>
              <w:t>Витрати</w:t>
            </w:r>
            <w:proofErr w:type="spellEnd"/>
          </w:p>
        </w:tc>
      </w:tr>
      <w:tr w:rsidR="00195EC9" w:rsidRPr="00195EC9" w:rsidTr="00AA0029">
        <w:trPr>
          <w:trHeight w:val="539"/>
        </w:trPr>
        <w:tc>
          <w:tcPr>
            <w:tcW w:w="2093"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val="ru-RU" w:eastAsia="ru-RU"/>
              </w:rPr>
            </w:pPr>
            <w:r w:rsidRPr="00195EC9">
              <w:rPr>
                <w:rFonts w:ascii="Times New Roman" w:eastAsia="Times New Roman" w:hAnsi="Times New Roman" w:cs="Times New Roman"/>
                <w:sz w:val="25"/>
                <w:szCs w:val="25"/>
                <w:lang w:val="ru-RU" w:eastAsia="ru-RU"/>
              </w:rPr>
              <w:t>Альтернатива 1</w:t>
            </w:r>
          </w:p>
        </w:tc>
        <w:tc>
          <w:tcPr>
            <w:tcW w:w="3071"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Відсутні</w:t>
            </w:r>
          </w:p>
        </w:tc>
        <w:tc>
          <w:tcPr>
            <w:tcW w:w="4853"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Збільшиться податкове навантаження</w:t>
            </w:r>
          </w:p>
        </w:tc>
      </w:tr>
      <w:tr w:rsidR="00195EC9" w:rsidRPr="00195EC9" w:rsidTr="00AA0029">
        <w:trPr>
          <w:trHeight w:val="703"/>
        </w:trPr>
        <w:tc>
          <w:tcPr>
            <w:tcW w:w="2093" w:type="dxa"/>
            <w:tcBorders>
              <w:top w:val="dotted" w:sz="4" w:space="0" w:color="auto"/>
              <w:left w:val="dotted" w:sz="4" w:space="0" w:color="auto"/>
              <w:bottom w:val="dotted" w:sz="4" w:space="0" w:color="auto"/>
              <w:right w:val="dotted" w:sz="4" w:space="0" w:color="auto"/>
            </w:tcBorders>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roofErr w:type="spellStart"/>
            <w:r w:rsidRPr="00195EC9">
              <w:rPr>
                <w:rFonts w:ascii="Times New Roman" w:eastAsia="Times New Roman" w:hAnsi="Times New Roman" w:cs="Times New Roman"/>
                <w:sz w:val="25"/>
                <w:szCs w:val="25"/>
                <w:lang w:eastAsia="ru-RU"/>
              </w:rPr>
              <w:t>Алтернатива</w:t>
            </w:r>
            <w:proofErr w:type="spellEnd"/>
            <w:r w:rsidRPr="00195EC9">
              <w:rPr>
                <w:rFonts w:ascii="Times New Roman" w:eastAsia="Times New Roman" w:hAnsi="Times New Roman" w:cs="Times New Roman"/>
                <w:sz w:val="25"/>
                <w:szCs w:val="25"/>
                <w:lang w:eastAsia="ru-RU"/>
              </w:rPr>
              <w:t xml:space="preserve"> 2</w:t>
            </w:r>
          </w:p>
        </w:tc>
        <w:tc>
          <w:tcPr>
            <w:tcW w:w="3071"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Зростання економічного та соціального розвитку громади  внаслідок спрямування додаткового ресурсу на забезпечення  життєдіяльності підвідомчій території </w:t>
            </w:r>
          </w:p>
        </w:tc>
        <w:tc>
          <w:tcPr>
            <w:tcW w:w="4853" w:type="dxa"/>
            <w:tcBorders>
              <w:top w:val="dotted" w:sz="4" w:space="0" w:color="auto"/>
              <w:left w:val="dotted" w:sz="4" w:space="0" w:color="auto"/>
              <w:bottom w:val="dotted" w:sz="4" w:space="0" w:color="auto"/>
              <w:right w:val="dotted" w:sz="4" w:space="0" w:color="auto"/>
            </w:tcBorders>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Сплата обов’язкового податкового платежу</w:t>
            </w:r>
          </w:p>
        </w:tc>
      </w:tr>
    </w:tbl>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I</w:t>
      </w:r>
      <w:r w:rsidRPr="00195EC9">
        <w:rPr>
          <w:rFonts w:ascii="Times New Roman" w:eastAsia="Times New Roman" w:hAnsi="Times New Roman" w:cs="Times New Roman"/>
          <w:sz w:val="28"/>
          <w:szCs w:val="28"/>
          <w:lang w:val="en-US" w:eastAsia="ru-RU"/>
        </w:rPr>
        <w:t>V</w:t>
      </w:r>
      <w:r w:rsidRPr="00195EC9">
        <w:rPr>
          <w:rFonts w:ascii="Times New Roman" w:eastAsia="Times New Roman" w:hAnsi="Times New Roman" w:cs="Times New Roman"/>
          <w:sz w:val="28"/>
          <w:szCs w:val="28"/>
          <w:lang w:eastAsia="ru-RU"/>
        </w:rPr>
        <w:t>. Вибір найбільш оптимального альтернативного способу досягнення цілей</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8"/>
          <w:szCs w:val="8"/>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
          <w:szCs w:val="2"/>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4 бали – цілі ухвалення регуляторного акта можуть бути досягнуті повною мірою (проблеми більше не буде);</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bookmarkStart w:id="1" w:name="n87"/>
      <w:bookmarkEnd w:id="1"/>
      <w:r w:rsidRPr="00195EC9">
        <w:rPr>
          <w:rFonts w:ascii="Times New Roman" w:eastAsia="Times New Roman" w:hAnsi="Times New Roman" w:cs="Times New Roman"/>
          <w:sz w:val="28"/>
          <w:szCs w:val="28"/>
          <w:lang w:eastAsia="ru-RU"/>
        </w:rPr>
        <w:t>3 бали – цілі ухвалення регуляторного акта можуть бути досягнуті майже  повною мірою (усіх важливих аспектів проблеми не буде);</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bookmarkStart w:id="2" w:name="n88"/>
      <w:bookmarkEnd w:id="2"/>
      <w:r w:rsidRPr="00195EC9">
        <w:rPr>
          <w:rFonts w:ascii="Times New Roman" w:eastAsia="Times New Roman" w:hAnsi="Times New Roman" w:cs="Times New Roman"/>
          <w:sz w:val="28"/>
          <w:szCs w:val="28"/>
          <w:lang w:eastAsia="ru-RU"/>
        </w:rPr>
        <w:t>2 бали – цілі ухвалення регуляторного акта можуть бути досягнуті частково (проблема значно зменшиться, але деякі важливі та критичні її аспекти залишаться невирішеними);</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bookmarkStart w:id="3" w:name="n89"/>
      <w:bookmarkEnd w:id="3"/>
      <w:r w:rsidRPr="00195EC9">
        <w:rPr>
          <w:rFonts w:ascii="Times New Roman" w:eastAsia="Times New Roman" w:hAnsi="Times New Roman" w:cs="Times New Roman"/>
          <w:sz w:val="28"/>
          <w:szCs w:val="28"/>
          <w:lang w:eastAsia="ru-RU"/>
        </w:rPr>
        <w:t>1 бал – цілі ухвалення регуляторного акта не можуть бути досягнуті (проблема залишається).</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4"/>
          <w:szCs w:val="4"/>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
          <w:szCs w:val="2"/>
          <w:lang w:eastAsia="ru-RU"/>
        </w:rPr>
      </w:pPr>
    </w:p>
    <w:tbl>
      <w:tblPr>
        <w:tblpPr w:leftFromText="180" w:rightFromText="180" w:vertAnchor="text" w:tblpY="1"/>
        <w:tblOverlap w:val="never"/>
        <w:tblW w:w="489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2410"/>
        <w:gridCol w:w="4819"/>
      </w:tblGrid>
      <w:tr w:rsidR="00195EC9" w:rsidRPr="00195EC9" w:rsidTr="00AA0029">
        <w:tc>
          <w:tcPr>
            <w:tcW w:w="1250"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Рейтинг результативності (досягнення цілей під час вирішення проблеми)</w:t>
            </w:r>
          </w:p>
        </w:tc>
        <w:tc>
          <w:tcPr>
            <w:tcW w:w="1250"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Бал результативності  (за чотирибальною</w:t>
            </w:r>
          </w:p>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системою оцінки)</w:t>
            </w:r>
          </w:p>
        </w:tc>
        <w:tc>
          <w:tcPr>
            <w:tcW w:w="2500"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Коментарі щодо присвоєння відповідного бала</w:t>
            </w:r>
          </w:p>
        </w:tc>
      </w:tr>
      <w:tr w:rsidR="00195EC9" w:rsidRPr="00195EC9" w:rsidTr="00AA0029">
        <w:trPr>
          <w:trHeight w:val="946"/>
        </w:trPr>
        <w:tc>
          <w:tcPr>
            <w:tcW w:w="1250"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lastRenderedPageBreak/>
              <w:t>Альтернатива 1</w:t>
            </w:r>
          </w:p>
        </w:tc>
        <w:tc>
          <w:tcPr>
            <w:tcW w:w="1250"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1</w:t>
            </w:r>
          </w:p>
        </w:tc>
        <w:tc>
          <w:tcPr>
            <w:tcW w:w="2500"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У платників податків погіршиться фінансове становище, не всі зможуть сплатити податки, що призведе до  втрат  бюджету громади, збільшення собівартості сільгосппродукції, та зростання тарифів на перевезення пасажирів</w:t>
            </w:r>
          </w:p>
        </w:tc>
      </w:tr>
      <w:tr w:rsidR="00195EC9" w:rsidRPr="00195EC9" w:rsidTr="00AA0029">
        <w:tc>
          <w:tcPr>
            <w:tcW w:w="1250"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Альтернатива 2</w:t>
            </w:r>
          </w:p>
        </w:tc>
        <w:tc>
          <w:tcPr>
            <w:tcW w:w="1250"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4</w:t>
            </w:r>
          </w:p>
        </w:tc>
        <w:tc>
          <w:tcPr>
            <w:tcW w:w="2500"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Повністю відповідає потребам у вирішенні проблеми, забезпечує досягнення цілей державного регулювання</w:t>
            </w:r>
          </w:p>
        </w:tc>
      </w:tr>
    </w:tbl>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p>
    <w:tbl>
      <w:tblPr>
        <w:tblW w:w="489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3"/>
        <w:gridCol w:w="2835"/>
        <w:gridCol w:w="2693"/>
        <w:gridCol w:w="2267"/>
      </w:tblGrid>
      <w:tr w:rsidR="00195EC9" w:rsidRPr="00195EC9" w:rsidTr="00AA0029">
        <w:tc>
          <w:tcPr>
            <w:tcW w:w="956"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Рейтинг </w:t>
            </w:r>
            <w:proofErr w:type="spellStart"/>
            <w:r w:rsidRPr="00195EC9">
              <w:rPr>
                <w:rFonts w:ascii="Times New Roman" w:eastAsia="Times New Roman" w:hAnsi="Times New Roman" w:cs="Times New Roman"/>
                <w:sz w:val="25"/>
                <w:szCs w:val="25"/>
                <w:lang w:eastAsia="ru-RU"/>
              </w:rPr>
              <w:t>результатив-ності</w:t>
            </w:r>
            <w:proofErr w:type="spellEnd"/>
          </w:p>
        </w:tc>
        <w:tc>
          <w:tcPr>
            <w:tcW w:w="1471"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Вигоди (підсумок)</w:t>
            </w:r>
          </w:p>
        </w:tc>
        <w:tc>
          <w:tcPr>
            <w:tcW w:w="1397"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Витрати (підсумок)</w:t>
            </w:r>
          </w:p>
        </w:tc>
        <w:tc>
          <w:tcPr>
            <w:tcW w:w="1176"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Обґрунтування відповідного місця альтернативи в рейтингу</w:t>
            </w:r>
          </w:p>
        </w:tc>
      </w:tr>
      <w:tr w:rsidR="00195EC9" w:rsidRPr="00195EC9" w:rsidTr="00AA0029">
        <w:tc>
          <w:tcPr>
            <w:tcW w:w="956" w:type="pct"/>
          </w:tcPr>
          <w:p w:rsidR="00195EC9" w:rsidRPr="00195EC9" w:rsidRDefault="00195EC9" w:rsidP="00195EC9">
            <w:pPr>
              <w:tabs>
                <w:tab w:val="left" w:pos="720"/>
                <w:tab w:val="left" w:pos="900"/>
              </w:tabs>
              <w:spacing w:after="0" w:line="240" w:lineRule="auto"/>
              <w:ind w:hanging="108"/>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Альтернатива 1</w:t>
            </w:r>
          </w:p>
        </w:tc>
        <w:tc>
          <w:tcPr>
            <w:tcW w:w="1471"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Відсутні </w:t>
            </w:r>
          </w:p>
        </w:tc>
        <w:tc>
          <w:tcPr>
            <w:tcW w:w="1397"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Відсутні </w:t>
            </w:r>
          </w:p>
        </w:tc>
        <w:tc>
          <w:tcPr>
            <w:tcW w:w="1176"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Не досягнуто мети</w:t>
            </w:r>
          </w:p>
        </w:tc>
      </w:tr>
      <w:tr w:rsidR="00195EC9" w:rsidRPr="00195EC9" w:rsidTr="00AA0029">
        <w:trPr>
          <w:trHeight w:val="414"/>
        </w:trPr>
        <w:tc>
          <w:tcPr>
            <w:tcW w:w="956" w:type="pct"/>
          </w:tcPr>
          <w:p w:rsidR="00195EC9" w:rsidRPr="00195EC9" w:rsidRDefault="00195EC9" w:rsidP="00195EC9">
            <w:pPr>
              <w:tabs>
                <w:tab w:val="left" w:pos="720"/>
                <w:tab w:val="left" w:pos="900"/>
              </w:tabs>
              <w:spacing w:after="0" w:line="240" w:lineRule="auto"/>
              <w:ind w:hanging="108"/>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Альтернатива 2</w:t>
            </w:r>
          </w:p>
        </w:tc>
        <w:tc>
          <w:tcPr>
            <w:tcW w:w="1471"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Забезпечення </w:t>
            </w:r>
            <w:proofErr w:type="spellStart"/>
            <w:r w:rsidRPr="00195EC9">
              <w:rPr>
                <w:rFonts w:ascii="Times New Roman" w:eastAsia="Times New Roman" w:hAnsi="Times New Roman" w:cs="Times New Roman"/>
                <w:sz w:val="25"/>
                <w:szCs w:val="25"/>
                <w:lang w:eastAsia="ru-RU"/>
              </w:rPr>
              <w:t>дотрима-ння</w:t>
            </w:r>
            <w:proofErr w:type="spellEnd"/>
            <w:r w:rsidRPr="00195EC9">
              <w:rPr>
                <w:rFonts w:ascii="Times New Roman" w:eastAsia="Times New Roman" w:hAnsi="Times New Roman" w:cs="Times New Roman"/>
                <w:sz w:val="25"/>
                <w:szCs w:val="25"/>
                <w:lang w:eastAsia="ru-RU"/>
              </w:rPr>
              <w:t xml:space="preserve"> вимог податкового законодавства в частині справляння податку на нерухоме майно, відмінне від земельної ділянки, і встановлення пільг</w:t>
            </w:r>
          </w:p>
        </w:tc>
        <w:tc>
          <w:tcPr>
            <w:tcW w:w="1397" w:type="pct"/>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 xml:space="preserve">Витрати робочого часу спеціалістів, пов’язані з </w:t>
            </w:r>
            <w:proofErr w:type="spellStart"/>
            <w:r w:rsidRPr="00195EC9">
              <w:rPr>
                <w:rFonts w:ascii="Times New Roman" w:eastAsia="Times New Roman" w:hAnsi="Times New Roman" w:cs="Times New Roman"/>
                <w:sz w:val="25"/>
                <w:szCs w:val="25"/>
                <w:lang w:eastAsia="ru-RU"/>
              </w:rPr>
              <w:t>підготов-кою</w:t>
            </w:r>
            <w:proofErr w:type="spellEnd"/>
            <w:r w:rsidRPr="00195EC9">
              <w:rPr>
                <w:rFonts w:ascii="Times New Roman" w:eastAsia="Times New Roman" w:hAnsi="Times New Roman" w:cs="Times New Roman"/>
                <w:sz w:val="25"/>
                <w:szCs w:val="25"/>
                <w:lang w:eastAsia="ru-RU"/>
              </w:rPr>
              <w:t xml:space="preserve"> регуляторного </w:t>
            </w:r>
            <w:proofErr w:type="spellStart"/>
            <w:r w:rsidRPr="00195EC9">
              <w:rPr>
                <w:rFonts w:ascii="Times New Roman" w:eastAsia="Times New Roman" w:hAnsi="Times New Roman" w:cs="Times New Roman"/>
                <w:sz w:val="25"/>
                <w:szCs w:val="25"/>
                <w:lang w:eastAsia="ru-RU"/>
              </w:rPr>
              <w:t>ака</w:t>
            </w:r>
            <w:proofErr w:type="spellEnd"/>
            <w:r w:rsidRPr="00195EC9">
              <w:rPr>
                <w:rFonts w:ascii="Times New Roman" w:eastAsia="Times New Roman" w:hAnsi="Times New Roman" w:cs="Times New Roman"/>
                <w:sz w:val="25"/>
                <w:szCs w:val="25"/>
                <w:lang w:eastAsia="ru-RU"/>
              </w:rPr>
              <w:t xml:space="preserve">; витрати на </w:t>
            </w:r>
            <w:proofErr w:type="spellStart"/>
            <w:r w:rsidRPr="00195EC9">
              <w:rPr>
                <w:rFonts w:ascii="Times New Roman" w:eastAsia="Times New Roman" w:hAnsi="Times New Roman" w:cs="Times New Roman"/>
                <w:sz w:val="25"/>
                <w:szCs w:val="25"/>
                <w:lang w:eastAsia="ru-RU"/>
              </w:rPr>
              <w:t>інфор-мування</w:t>
            </w:r>
            <w:proofErr w:type="spellEnd"/>
            <w:r w:rsidRPr="00195EC9">
              <w:rPr>
                <w:rFonts w:ascii="Times New Roman" w:eastAsia="Times New Roman" w:hAnsi="Times New Roman" w:cs="Times New Roman"/>
                <w:sz w:val="25"/>
                <w:szCs w:val="25"/>
                <w:lang w:eastAsia="ru-RU"/>
              </w:rPr>
              <w:t xml:space="preserve"> платників податку з питань державного </w:t>
            </w:r>
            <w:proofErr w:type="spellStart"/>
            <w:r w:rsidRPr="00195EC9">
              <w:rPr>
                <w:rFonts w:ascii="Times New Roman" w:eastAsia="Times New Roman" w:hAnsi="Times New Roman" w:cs="Times New Roman"/>
                <w:sz w:val="25"/>
                <w:szCs w:val="25"/>
                <w:lang w:eastAsia="ru-RU"/>
              </w:rPr>
              <w:t>регулю-вання</w:t>
            </w:r>
            <w:proofErr w:type="spellEnd"/>
            <w:r w:rsidRPr="00195EC9">
              <w:rPr>
                <w:rFonts w:ascii="Times New Roman" w:eastAsia="Times New Roman" w:hAnsi="Times New Roman" w:cs="Times New Roman"/>
                <w:sz w:val="25"/>
                <w:szCs w:val="25"/>
                <w:lang w:eastAsia="ru-RU"/>
              </w:rPr>
              <w:t xml:space="preserve"> </w:t>
            </w:r>
          </w:p>
        </w:tc>
        <w:tc>
          <w:tcPr>
            <w:tcW w:w="1176"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Сприяє досягненню цілей регулювання, повністю вирішує проблему</w:t>
            </w:r>
          </w:p>
        </w:tc>
      </w:tr>
    </w:tbl>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p>
    <w:tbl>
      <w:tblPr>
        <w:tblW w:w="489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3262"/>
        <w:gridCol w:w="4394"/>
      </w:tblGrid>
      <w:tr w:rsidR="00195EC9" w:rsidRPr="00195EC9" w:rsidTr="00AA0029">
        <w:trPr>
          <w:trHeight w:val="1171"/>
        </w:trPr>
        <w:tc>
          <w:tcPr>
            <w:tcW w:w="1029"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Рейтинг</w:t>
            </w:r>
          </w:p>
        </w:tc>
        <w:tc>
          <w:tcPr>
            <w:tcW w:w="1692"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Аргументи щодо</w:t>
            </w:r>
          </w:p>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переваги обраної альтернативи/причини відмови від альтернативи</w:t>
            </w:r>
          </w:p>
        </w:tc>
        <w:tc>
          <w:tcPr>
            <w:tcW w:w="2279" w:type="pct"/>
            <w:vAlign w:val="center"/>
          </w:tcPr>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Оцінка ризику зовнішніх чинників на дію запропонованого регуляторного акта</w:t>
            </w:r>
          </w:p>
          <w:p w:rsidR="00195EC9" w:rsidRPr="00195EC9" w:rsidRDefault="00195EC9" w:rsidP="00195EC9">
            <w:pPr>
              <w:tabs>
                <w:tab w:val="left" w:pos="720"/>
                <w:tab w:val="left" w:pos="900"/>
              </w:tabs>
              <w:spacing w:after="0" w:line="240" w:lineRule="auto"/>
              <w:jc w:val="center"/>
              <w:rPr>
                <w:rFonts w:ascii="Times New Roman" w:eastAsia="Times New Roman" w:hAnsi="Times New Roman" w:cs="Times New Roman"/>
                <w:sz w:val="25"/>
                <w:szCs w:val="25"/>
                <w:lang w:eastAsia="ru-RU"/>
              </w:rPr>
            </w:pPr>
          </w:p>
        </w:tc>
      </w:tr>
      <w:tr w:rsidR="00195EC9" w:rsidRPr="00195EC9" w:rsidTr="00AA0029">
        <w:trPr>
          <w:trHeight w:val="377"/>
        </w:trPr>
        <w:tc>
          <w:tcPr>
            <w:tcW w:w="1029"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Альтернатива 1</w:t>
            </w:r>
          </w:p>
        </w:tc>
        <w:tc>
          <w:tcPr>
            <w:tcW w:w="1692" w:type="pct"/>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Відсутні</w:t>
            </w:r>
          </w:p>
        </w:tc>
        <w:tc>
          <w:tcPr>
            <w:tcW w:w="2279" w:type="pct"/>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Відсутні</w:t>
            </w:r>
          </w:p>
        </w:tc>
      </w:tr>
      <w:tr w:rsidR="00195EC9" w:rsidRPr="00195EC9" w:rsidTr="00AA0029">
        <w:tc>
          <w:tcPr>
            <w:tcW w:w="1029" w:type="pct"/>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Альтернатива 2</w:t>
            </w:r>
          </w:p>
        </w:tc>
        <w:tc>
          <w:tcPr>
            <w:tcW w:w="1692" w:type="pct"/>
            <w:vAlign w:val="center"/>
          </w:tcPr>
          <w:p w:rsidR="00195EC9" w:rsidRPr="00195EC9" w:rsidRDefault="00195EC9" w:rsidP="00195EC9">
            <w:pPr>
              <w:tabs>
                <w:tab w:val="left" w:pos="720"/>
                <w:tab w:val="left" w:pos="900"/>
              </w:tabs>
              <w:spacing w:after="0" w:line="240" w:lineRule="auto"/>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Сприяє досягненню цілей регулювання, повністю вирішує проблему</w:t>
            </w:r>
          </w:p>
        </w:tc>
        <w:tc>
          <w:tcPr>
            <w:tcW w:w="2279" w:type="pct"/>
          </w:tcPr>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5"/>
                <w:szCs w:val="25"/>
                <w:lang w:eastAsia="ru-RU"/>
              </w:rPr>
            </w:pPr>
            <w:r w:rsidRPr="00195EC9">
              <w:rPr>
                <w:rFonts w:ascii="Times New Roman" w:eastAsia="Times New Roman" w:hAnsi="Times New Roman" w:cs="Times New Roman"/>
                <w:sz w:val="25"/>
                <w:szCs w:val="25"/>
                <w:lang w:eastAsia="ru-RU"/>
              </w:rPr>
              <w:t>Коригування проекту в разі змін у чинному законодавстві України, яке регулює справляння податку на нерухоме майно, відмінне від земельної ділянки</w:t>
            </w:r>
          </w:p>
        </w:tc>
      </w:tr>
    </w:tbl>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8"/>
          <w:szCs w:val="28"/>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napToGrid w:val="0"/>
          <w:sz w:val="28"/>
          <w:szCs w:val="28"/>
          <w:lang w:eastAsia="ru-RU"/>
        </w:rPr>
      </w:pPr>
      <w:r w:rsidRPr="00195EC9">
        <w:rPr>
          <w:rFonts w:ascii="Times New Roman" w:eastAsia="Times New Roman" w:hAnsi="Times New Roman" w:cs="Times New Roman"/>
          <w:sz w:val="28"/>
          <w:szCs w:val="28"/>
          <w:lang w:eastAsia="ru-RU"/>
        </w:rPr>
        <w:t xml:space="preserve"> </w:t>
      </w:r>
      <w:r w:rsidRPr="00195EC9">
        <w:rPr>
          <w:rFonts w:ascii="Times New Roman" w:eastAsia="Times New Roman" w:hAnsi="Times New Roman" w:cs="Times New Roman"/>
          <w:snapToGrid w:val="0"/>
          <w:sz w:val="28"/>
          <w:szCs w:val="28"/>
          <w:lang w:eastAsia="ru-RU"/>
        </w:rPr>
        <w:t>V. Механізми та заходи, що забезпечать розв’язання проблеми</w:t>
      </w:r>
    </w:p>
    <w:p w:rsidR="00195EC9" w:rsidRPr="00195EC9" w:rsidRDefault="00195EC9" w:rsidP="00195EC9">
      <w:pPr>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napToGrid w:val="0"/>
          <w:sz w:val="27"/>
          <w:szCs w:val="27"/>
          <w:lang w:eastAsia="ru-RU"/>
        </w:rPr>
        <w:t xml:space="preserve">         </w:t>
      </w:r>
      <w:r w:rsidRPr="00195EC9">
        <w:rPr>
          <w:rFonts w:ascii="Times New Roman" w:eastAsia="Times New Roman" w:hAnsi="Times New Roman" w:cs="Times New Roman"/>
          <w:snapToGrid w:val="0"/>
          <w:sz w:val="28"/>
          <w:szCs w:val="28"/>
          <w:lang w:eastAsia="ru-RU"/>
        </w:rPr>
        <w:t xml:space="preserve">Механізмом розв’язання вказаної вище проблеми є прийняття рішення міської ради </w:t>
      </w:r>
      <w:r w:rsidRPr="00195EC9">
        <w:rPr>
          <w:rFonts w:ascii="Times New Roman" w:eastAsia="Times New Roman" w:hAnsi="Times New Roman" w:cs="Times New Roman"/>
          <w:sz w:val="28"/>
          <w:szCs w:val="28"/>
          <w:lang w:eastAsia="ru-RU"/>
        </w:rPr>
        <w:t xml:space="preserve">«Про внесення змін до рішення міської ради від 25.06.2019 №818-20/VІІ  «Про встановлення місцевих податків і зборів на підвідомчій території </w:t>
      </w:r>
      <w:proofErr w:type="spellStart"/>
      <w:r w:rsidRPr="00195EC9">
        <w:rPr>
          <w:rFonts w:ascii="Times New Roman" w:eastAsia="Times New Roman" w:hAnsi="Times New Roman" w:cs="Times New Roman"/>
          <w:sz w:val="28"/>
          <w:szCs w:val="28"/>
          <w:lang w:eastAsia="ru-RU"/>
        </w:rPr>
        <w:t>Бобровицької</w:t>
      </w:r>
      <w:proofErr w:type="spellEnd"/>
      <w:r w:rsidRPr="00195EC9">
        <w:rPr>
          <w:rFonts w:ascii="Times New Roman" w:eastAsia="Times New Roman" w:hAnsi="Times New Roman" w:cs="Times New Roman"/>
          <w:sz w:val="28"/>
          <w:szCs w:val="28"/>
          <w:lang w:eastAsia="ru-RU"/>
        </w:rPr>
        <w:t xml:space="preserve"> міської ради  на 2020 рік».</w:t>
      </w:r>
    </w:p>
    <w:p w:rsidR="00195EC9" w:rsidRPr="00195EC9" w:rsidRDefault="00195EC9" w:rsidP="00195EC9">
      <w:pPr>
        <w:tabs>
          <w:tab w:val="left" w:pos="709"/>
        </w:tabs>
        <w:spacing w:after="0" w:line="240" w:lineRule="auto"/>
        <w:jc w:val="both"/>
        <w:rPr>
          <w:rFonts w:ascii="Times New Roman" w:eastAsia="Times New Roman" w:hAnsi="Times New Roman" w:cs="Times New Roman"/>
          <w:snapToGrid w:val="0"/>
          <w:sz w:val="28"/>
          <w:szCs w:val="28"/>
          <w:lang w:eastAsia="ru-RU"/>
        </w:rPr>
      </w:pPr>
      <w:r w:rsidRPr="00195EC9">
        <w:rPr>
          <w:rFonts w:ascii="Times New Roman" w:eastAsia="Times New Roman" w:hAnsi="Times New Roman" w:cs="Times New Roman"/>
          <w:snapToGrid w:val="0"/>
          <w:sz w:val="28"/>
          <w:szCs w:val="28"/>
          <w:lang w:eastAsia="ru-RU"/>
        </w:rPr>
        <w:t xml:space="preserve"> </w:t>
      </w:r>
    </w:p>
    <w:p w:rsidR="00195EC9" w:rsidRPr="00195EC9" w:rsidRDefault="00195EC9" w:rsidP="00195EC9">
      <w:pPr>
        <w:tabs>
          <w:tab w:val="left" w:pos="720"/>
        </w:tabs>
        <w:spacing w:after="0" w:line="240" w:lineRule="auto"/>
        <w:jc w:val="both"/>
        <w:rPr>
          <w:rFonts w:ascii="Times New Roman" w:eastAsia="Times New Roman" w:hAnsi="Times New Roman" w:cs="Times New Roman"/>
          <w:snapToGrid w:val="0"/>
          <w:sz w:val="28"/>
          <w:szCs w:val="28"/>
          <w:lang w:eastAsia="ru-RU"/>
        </w:rPr>
      </w:pPr>
      <w:r w:rsidRPr="00195EC9">
        <w:rPr>
          <w:rFonts w:ascii="Times New Roman" w:eastAsia="Times New Roman" w:hAnsi="Times New Roman" w:cs="Times New Roman"/>
          <w:snapToGrid w:val="0"/>
          <w:sz w:val="28"/>
          <w:szCs w:val="28"/>
          <w:lang w:eastAsia="ru-RU"/>
        </w:rPr>
        <w:t xml:space="preserve">         Ухвалене рішення міської ради буде оприлюднене  на офіційному сайті </w:t>
      </w:r>
      <w:proofErr w:type="spellStart"/>
      <w:r w:rsidRPr="00195EC9">
        <w:rPr>
          <w:rFonts w:ascii="Times New Roman" w:eastAsia="Times New Roman" w:hAnsi="Times New Roman" w:cs="Times New Roman"/>
          <w:snapToGrid w:val="0"/>
          <w:sz w:val="28"/>
          <w:szCs w:val="28"/>
          <w:lang w:eastAsia="ru-RU"/>
        </w:rPr>
        <w:t>Бобровицької</w:t>
      </w:r>
      <w:proofErr w:type="spellEnd"/>
      <w:r w:rsidRPr="00195EC9">
        <w:rPr>
          <w:rFonts w:ascii="Times New Roman" w:eastAsia="Times New Roman" w:hAnsi="Times New Roman" w:cs="Times New Roman"/>
          <w:snapToGrid w:val="0"/>
          <w:sz w:val="28"/>
          <w:szCs w:val="28"/>
          <w:lang w:eastAsia="ru-RU"/>
        </w:rPr>
        <w:t xml:space="preserve"> міської ради в мережі Інтернет. </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napToGrid w:val="0"/>
          <w:sz w:val="28"/>
          <w:szCs w:val="28"/>
          <w:lang w:eastAsia="ru-RU"/>
        </w:rPr>
      </w:pPr>
      <w:r w:rsidRPr="00195EC9">
        <w:rPr>
          <w:rFonts w:ascii="Times New Roman" w:eastAsia="Times New Roman" w:hAnsi="Times New Roman" w:cs="Times New Roman"/>
          <w:snapToGrid w:val="0"/>
          <w:sz w:val="28"/>
          <w:szCs w:val="28"/>
          <w:lang w:eastAsia="ru-RU"/>
        </w:rPr>
        <w:t xml:space="preserve">          П</w:t>
      </w:r>
      <w:r w:rsidRPr="00195EC9">
        <w:rPr>
          <w:rFonts w:ascii="Times New Roman" w:eastAsia="Times New Roman" w:hAnsi="Times New Roman" w:cs="Times New Roman"/>
          <w:sz w:val="28"/>
          <w:szCs w:val="28"/>
          <w:lang w:eastAsia="ru-RU"/>
        </w:rPr>
        <w:t>рийняття</w:t>
      </w:r>
      <w:r w:rsidRPr="00195EC9">
        <w:rPr>
          <w:rFonts w:ascii="Times New Roman" w:eastAsia="Times New Roman" w:hAnsi="Times New Roman" w:cs="Times New Roman"/>
          <w:sz w:val="24"/>
          <w:szCs w:val="24"/>
          <w:lang w:eastAsia="ru-RU"/>
        </w:rPr>
        <w:t xml:space="preserve"> </w:t>
      </w:r>
      <w:r w:rsidRPr="00195EC9">
        <w:rPr>
          <w:rFonts w:ascii="Times New Roman" w:eastAsia="Times New Roman" w:hAnsi="Times New Roman" w:cs="Times New Roman"/>
          <w:sz w:val="28"/>
          <w:szCs w:val="28"/>
          <w:lang w:eastAsia="ru-RU"/>
        </w:rPr>
        <w:t xml:space="preserve">регуляторного акта забезпечить </w:t>
      </w:r>
      <w:r w:rsidRPr="00195EC9">
        <w:rPr>
          <w:rFonts w:ascii="Times New Roman" w:eastAsia="Times New Roman" w:hAnsi="Times New Roman" w:cs="Times New Roman"/>
          <w:snapToGrid w:val="0"/>
          <w:sz w:val="28"/>
          <w:szCs w:val="28"/>
          <w:lang w:eastAsia="ru-RU"/>
        </w:rPr>
        <w:t xml:space="preserve">дотримання норм чинного податкового законодавства  як органом місцевого самоврядування при встановленні ставок та наданні пільг зі сплати податку на нерухоме майно, відмінне від земельної ділянки, органами державної фіскальної служби при </w:t>
      </w:r>
      <w:r w:rsidRPr="00195EC9">
        <w:rPr>
          <w:rFonts w:ascii="Times New Roman" w:eastAsia="Times New Roman" w:hAnsi="Times New Roman" w:cs="Times New Roman"/>
          <w:snapToGrid w:val="0"/>
          <w:sz w:val="28"/>
          <w:szCs w:val="28"/>
          <w:lang w:eastAsia="ru-RU"/>
        </w:rPr>
        <w:lastRenderedPageBreak/>
        <w:t>адмініструванні податку, так і власниками об’єктів житлової та/або нежитлової нерухомості.</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napToGrid w:val="0"/>
          <w:sz w:val="12"/>
          <w:szCs w:val="12"/>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napToGrid w:val="0"/>
          <w:sz w:val="8"/>
          <w:szCs w:val="8"/>
          <w:lang w:eastAsia="ru-RU"/>
        </w:rPr>
      </w:pPr>
      <w:r w:rsidRPr="00195EC9">
        <w:rPr>
          <w:rFonts w:ascii="Times New Roman" w:eastAsia="Times New Roman" w:hAnsi="Times New Roman" w:cs="Times New Roman"/>
          <w:snapToGrid w:val="0"/>
          <w:sz w:val="28"/>
          <w:szCs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napToGrid w:val="0"/>
          <w:sz w:val="8"/>
          <w:szCs w:val="8"/>
          <w:lang w:eastAsia="ru-RU"/>
        </w:rPr>
      </w:pPr>
      <w:r w:rsidRPr="00195EC9">
        <w:rPr>
          <w:rFonts w:ascii="Times New Roman" w:eastAsia="Times New Roman" w:hAnsi="Times New Roman" w:cs="Times New Roman"/>
          <w:snapToGrid w:val="0"/>
          <w:sz w:val="28"/>
          <w:szCs w:val="28"/>
          <w:lang w:eastAsia="ru-RU"/>
        </w:rPr>
        <w:t xml:space="preserve">         У загальній кількості суб’єктів господарювання, на яких поширюється регулювання, найбільша питома вага припадає на </w:t>
      </w:r>
      <w:proofErr w:type="spellStart"/>
      <w:r w:rsidRPr="00195EC9">
        <w:rPr>
          <w:rFonts w:ascii="Times New Roman" w:eastAsia="Times New Roman" w:hAnsi="Times New Roman" w:cs="Times New Roman"/>
          <w:snapToGrid w:val="0"/>
          <w:sz w:val="28"/>
          <w:szCs w:val="28"/>
          <w:lang w:eastAsia="ru-RU"/>
        </w:rPr>
        <w:t>сільгосптоваровиробників</w:t>
      </w:r>
      <w:proofErr w:type="spellEnd"/>
      <w:r w:rsidRPr="00195EC9">
        <w:rPr>
          <w:rFonts w:ascii="Times New Roman" w:eastAsia="Times New Roman" w:hAnsi="Times New Roman" w:cs="Times New Roman"/>
          <w:snapToGrid w:val="0"/>
          <w:sz w:val="28"/>
          <w:szCs w:val="28"/>
          <w:lang w:eastAsia="ru-RU"/>
        </w:rPr>
        <w:t xml:space="preserve"> та на  підприємства , що здійснюють </w:t>
      </w:r>
      <w:proofErr w:type="spellStart"/>
      <w:r w:rsidRPr="00195EC9">
        <w:rPr>
          <w:rFonts w:ascii="Times New Roman" w:eastAsia="Times New Roman" w:hAnsi="Times New Roman" w:cs="Times New Roman"/>
          <w:snapToGrid w:val="0"/>
          <w:sz w:val="28"/>
          <w:szCs w:val="28"/>
          <w:lang w:eastAsia="ru-RU"/>
        </w:rPr>
        <w:t>пасажироперевезення</w:t>
      </w:r>
      <w:proofErr w:type="spellEnd"/>
      <w:r w:rsidRPr="00195EC9">
        <w:rPr>
          <w:rFonts w:ascii="Times New Roman" w:eastAsia="Times New Roman" w:hAnsi="Times New Roman" w:cs="Times New Roman"/>
          <w:snapToGrid w:val="0"/>
          <w:sz w:val="28"/>
          <w:szCs w:val="28"/>
          <w:lang w:eastAsia="ru-RU"/>
        </w:rPr>
        <w:t>.</w:t>
      </w:r>
    </w:p>
    <w:p w:rsidR="00195EC9" w:rsidRPr="00195EC9" w:rsidRDefault="00195EC9" w:rsidP="00195EC9">
      <w:pPr>
        <w:tabs>
          <w:tab w:val="left" w:pos="709"/>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VIІ. </w:t>
      </w:r>
      <w:proofErr w:type="spellStart"/>
      <w:r w:rsidRPr="00195EC9">
        <w:rPr>
          <w:rFonts w:ascii="Times New Roman" w:eastAsia="Times New Roman" w:hAnsi="Times New Roman" w:cs="Times New Roman"/>
          <w:sz w:val="28"/>
          <w:szCs w:val="28"/>
          <w:lang w:eastAsia="ru-RU"/>
        </w:rPr>
        <w:t>Обгрунтування</w:t>
      </w:r>
      <w:proofErr w:type="spellEnd"/>
      <w:r w:rsidRPr="00195EC9">
        <w:rPr>
          <w:rFonts w:ascii="Times New Roman" w:eastAsia="Times New Roman" w:hAnsi="Times New Roman" w:cs="Times New Roman"/>
          <w:sz w:val="28"/>
          <w:szCs w:val="28"/>
          <w:lang w:eastAsia="ru-RU"/>
        </w:rPr>
        <w:t xml:space="preserve">  запропонованого строку дії регуляторного акта</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8"/>
          <w:szCs w:val="8"/>
          <w:lang w:val="ru-RU" w:eastAsia="ru-RU"/>
        </w:rPr>
      </w:pPr>
    </w:p>
    <w:p w:rsidR="00195EC9" w:rsidRPr="00195EC9" w:rsidRDefault="00195EC9" w:rsidP="00195EC9">
      <w:pPr>
        <w:tabs>
          <w:tab w:val="left" w:pos="900"/>
        </w:tabs>
        <w:spacing w:after="0" w:line="240" w:lineRule="auto"/>
        <w:jc w:val="both"/>
        <w:rPr>
          <w:rFonts w:ascii="Times New Roman" w:eastAsia="Times New Roman" w:hAnsi="Times New Roman" w:cs="Times New Roman"/>
          <w:sz w:val="4"/>
          <w:szCs w:val="4"/>
          <w:lang w:val="ru-RU" w:eastAsia="ru-RU"/>
        </w:rPr>
      </w:pPr>
    </w:p>
    <w:p w:rsidR="00195EC9" w:rsidRPr="00195EC9" w:rsidRDefault="00195EC9" w:rsidP="00195EC9">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Відповідно до абзацу четвертого підпункту 266.4.2  пункту 266.4 статті 266 Податкового кодексу України строк дії регуляторного акта встановлюється з 1 січня 2020 року по 31 грудня 2020 року.</w:t>
      </w:r>
    </w:p>
    <w:p w:rsidR="00195EC9" w:rsidRPr="00195EC9" w:rsidRDefault="00195EC9" w:rsidP="00195EC9">
      <w:pPr>
        <w:tabs>
          <w:tab w:val="left" w:pos="709"/>
          <w:tab w:val="left" w:pos="851"/>
        </w:tabs>
        <w:spacing w:after="0" w:line="240" w:lineRule="auto"/>
        <w:jc w:val="both"/>
        <w:rPr>
          <w:rFonts w:ascii="Times New Roman" w:eastAsia="Times New Roman" w:hAnsi="Times New Roman" w:cs="Times New Roman"/>
          <w:sz w:val="16"/>
          <w:szCs w:val="16"/>
          <w:lang w:eastAsia="ru-RU"/>
        </w:rPr>
      </w:pP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27"/>
          <w:szCs w:val="27"/>
          <w:lang w:eastAsia="ru-RU"/>
        </w:rPr>
      </w:pPr>
      <w:r w:rsidRPr="00195EC9">
        <w:rPr>
          <w:rFonts w:ascii="Times New Roman" w:eastAsia="Times New Roman" w:hAnsi="Times New Roman" w:cs="Times New Roman"/>
          <w:sz w:val="28"/>
          <w:szCs w:val="28"/>
          <w:lang w:eastAsia="ru-RU"/>
        </w:rPr>
        <w:t>VI</w:t>
      </w:r>
      <w:r w:rsidRPr="00195EC9">
        <w:rPr>
          <w:rFonts w:ascii="Times New Roman" w:eastAsia="Times New Roman" w:hAnsi="Times New Roman" w:cs="Times New Roman"/>
          <w:sz w:val="28"/>
          <w:szCs w:val="28"/>
          <w:lang w:val="en-US" w:eastAsia="ru-RU"/>
        </w:rPr>
        <w:t>I</w:t>
      </w:r>
      <w:r w:rsidRPr="00195EC9">
        <w:rPr>
          <w:rFonts w:ascii="Times New Roman" w:eastAsia="Times New Roman" w:hAnsi="Times New Roman" w:cs="Times New Roman"/>
          <w:sz w:val="28"/>
          <w:szCs w:val="28"/>
          <w:lang w:eastAsia="ru-RU"/>
        </w:rPr>
        <w:t>I Визначення показників результативності дії регуляторного акта</w:t>
      </w:r>
    </w:p>
    <w:p w:rsidR="00195EC9" w:rsidRPr="00195EC9" w:rsidRDefault="00195EC9" w:rsidP="00195EC9">
      <w:pPr>
        <w:tabs>
          <w:tab w:val="left" w:pos="720"/>
          <w:tab w:val="left" w:pos="900"/>
        </w:tabs>
        <w:spacing w:after="0" w:line="240" w:lineRule="auto"/>
        <w:jc w:val="both"/>
        <w:rPr>
          <w:rFonts w:ascii="Times New Roman" w:eastAsia="Times New Roman" w:hAnsi="Times New Roman" w:cs="Times New Roman"/>
          <w:sz w:val="4"/>
          <w:szCs w:val="4"/>
          <w:lang w:eastAsia="ru-RU"/>
        </w:rPr>
      </w:pPr>
    </w:p>
    <w:p w:rsidR="00195EC9" w:rsidRPr="00195EC9" w:rsidRDefault="00195EC9" w:rsidP="00195EC9">
      <w:pPr>
        <w:tabs>
          <w:tab w:val="left" w:pos="709"/>
          <w:tab w:val="left" w:pos="900"/>
        </w:tabs>
        <w:spacing w:after="0" w:line="240" w:lineRule="auto"/>
        <w:jc w:val="both"/>
        <w:rPr>
          <w:rFonts w:ascii="Times New Roman" w:eastAsia="Times New Roman" w:hAnsi="Times New Roman" w:cs="Times New Roman"/>
          <w:sz w:val="27"/>
          <w:szCs w:val="27"/>
          <w:lang w:eastAsia="ru-RU"/>
        </w:rPr>
      </w:pPr>
      <w:r w:rsidRPr="00195EC9">
        <w:rPr>
          <w:rFonts w:ascii="Times New Roman" w:eastAsia="Times New Roman" w:hAnsi="Times New Roman" w:cs="Times New Roman"/>
          <w:sz w:val="28"/>
          <w:szCs w:val="28"/>
          <w:lang w:eastAsia="ru-RU"/>
        </w:rPr>
        <w:t xml:space="preserve">         Показниками, які характеризують наслідки дії регуляторного акта є кількісні (кількість платників податку на нерухоме майно, відмінне від земельної ділянки) та якісні (обсяг надходжень </w:t>
      </w:r>
      <w:r w:rsidRPr="00195EC9">
        <w:rPr>
          <w:rFonts w:ascii="Times New Roman" w:eastAsia="Times New Roman" w:hAnsi="Times New Roman" w:cs="Times New Roman"/>
          <w:sz w:val="24"/>
          <w:szCs w:val="24"/>
          <w:lang w:eastAsia="ru-RU"/>
        </w:rPr>
        <w:t xml:space="preserve"> </w:t>
      </w:r>
      <w:r w:rsidRPr="00195EC9">
        <w:rPr>
          <w:rFonts w:ascii="Times New Roman" w:eastAsia="Times New Roman" w:hAnsi="Times New Roman" w:cs="Times New Roman"/>
          <w:sz w:val="28"/>
          <w:szCs w:val="28"/>
          <w:lang w:eastAsia="ru-RU"/>
        </w:rPr>
        <w:t>податку на нерухоме майно, відмінне від земельної ділянки, до міського бюджету) показники</w:t>
      </w:r>
      <w:r w:rsidRPr="00195EC9">
        <w:rPr>
          <w:rFonts w:ascii="Times New Roman" w:eastAsia="Times New Roman" w:hAnsi="Times New Roman" w:cs="Times New Roman"/>
          <w:sz w:val="27"/>
          <w:szCs w:val="27"/>
          <w:lang w:eastAsia="ru-RU"/>
        </w:rPr>
        <w:t>.</w:t>
      </w: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16"/>
          <w:szCs w:val="16"/>
          <w:lang w:eastAsia="ru-RU"/>
        </w:rPr>
      </w:pPr>
      <w:r w:rsidRPr="00195EC9">
        <w:rPr>
          <w:rFonts w:ascii="Times New Roman" w:eastAsia="Times New Roman" w:hAnsi="Times New Roman" w:cs="Times New Roman"/>
          <w:sz w:val="27"/>
          <w:szCs w:val="27"/>
          <w:lang w:eastAsia="ru-RU"/>
        </w:rPr>
        <w:t xml:space="preserve">   </w:t>
      </w: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IX. Заходи, за допомогою яких  буде здійснюватися відстеження результативності акта</w:t>
      </w: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4"/>
          <w:szCs w:val="4"/>
          <w:lang w:eastAsia="ru-RU"/>
        </w:rPr>
      </w:pP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Базове відстеження регуляторного акта здійснюватиметься впродовж 2020 року.</w:t>
      </w: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8"/>
          <w:szCs w:val="28"/>
          <w:lang w:eastAsia="ru-RU"/>
        </w:rPr>
      </w:pPr>
      <w:r w:rsidRPr="00195EC9">
        <w:rPr>
          <w:rFonts w:ascii="Times New Roman" w:eastAsia="Times New Roman" w:hAnsi="Times New Roman" w:cs="Times New Roman"/>
          <w:sz w:val="28"/>
          <w:szCs w:val="28"/>
          <w:lang w:eastAsia="ru-RU"/>
        </w:rPr>
        <w:t xml:space="preserve">         Пропозиції  та зауваження до проекту рішення надсилати у письмовій формі на  виконавчий комітет </w:t>
      </w:r>
      <w:proofErr w:type="spellStart"/>
      <w:r w:rsidRPr="00195EC9">
        <w:rPr>
          <w:rFonts w:ascii="Times New Roman" w:eastAsia="Times New Roman" w:hAnsi="Times New Roman" w:cs="Times New Roman"/>
          <w:sz w:val="28"/>
          <w:szCs w:val="28"/>
          <w:lang w:eastAsia="ru-RU"/>
        </w:rPr>
        <w:t>Бобровицької</w:t>
      </w:r>
      <w:proofErr w:type="spellEnd"/>
      <w:r w:rsidRPr="00195EC9">
        <w:rPr>
          <w:rFonts w:ascii="Times New Roman" w:eastAsia="Times New Roman" w:hAnsi="Times New Roman" w:cs="Times New Roman"/>
          <w:sz w:val="28"/>
          <w:szCs w:val="28"/>
          <w:lang w:eastAsia="ru-RU"/>
        </w:rPr>
        <w:t xml:space="preserve"> міської ради за адресою вул. Незалежності,б.46,  до 25липня 2019 року.</w:t>
      </w: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8"/>
          <w:szCs w:val="28"/>
          <w:lang w:eastAsia="ru-RU"/>
        </w:rPr>
      </w:pP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8"/>
          <w:szCs w:val="28"/>
          <w:lang w:eastAsia="ru-RU"/>
        </w:rPr>
      </w:pP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8"/>
          <w:szCs w:val="28"/>
          <w:lang w:eastAsia="ru-RU"/>
        </w:rPr>
      </w:pP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8"/>
          <w:szCs w:val="28"/>
          <w:lang w:eastAsia="ru-RU"/>
        </w:rPr>
      </w:pP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8"/>
          <w:szCs w:val="28"/>
          <w:lang w:eastAsia="ru-RU"/>
        </w:rPr>
      </w:pP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8"/>
          <w:szCs w:val="28"/>
          <w:lang w:eastAsia="ru-RU"/>
        </w:rPr>
      </w:pP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7"/>
          <w:szCs w:val="27"/>
          <w:lang w:eastAsia="ru-RU"/>
        </w:rPr>
      </w:pPr>
      <w:r w:rsidRPr="00195EC9">
        <w:rPr>
          <w:rFonts w:ascii="Times New Roman" w:eastAsia="Times New Roman" w:hAnsi="Times New Roman" w:cs="Times New Roman"/>
          <w:sz w:val="28"/>
          <w:szCs w:val="28"/>
          <w:lang w:eastAsia="ru-RU"/>
        </w:rPr>
        <w:t xml:space="preserve">Міський голова                          </w:t>
      </w:r>
      <w:r w:rsidRPr="00195EC9">
        <w:rPr>
          <w:rFonts w:ascii="Times New Roman" w:eastAsia="Times New Roman" w:hAnsi="Times New Roman" w:cs="Times New Roman"/>
          <w:sz w:val="27"/>
          <w:szCs w:val="27"/>
          <w:lang w:eastAsia="ru-RU"/>
        </w:rPr>
        <w:t xml:space="preserve">                             Т.КОВЧЕЖНЮК </w:t>
      </w:r>
    </w:p>
    <w:p w:rsidR="00195EC9" w:rsidRPr="00195EC9" w:rsidRDefault="00195EC9" w:rsidP="00195EC9">
      <w:pPr>
        <w:tabs>
          <w:tab w:val="left" w:pos="540"/>
          <w:tab w:val="left" w:pos="720"/>
          <w:tab w:val="left" w:pos="900"/>
        </w:tabs>
        <w:spacing w:after="0" w:line="240" w:lineRule="auto"/>
        <w:jc w:val="both"/>
        <w:rPr>
          <w:rFonts w:ascii="Times New Roman" w:eastAsia="Times New Roman" w:hAnsi="Times New Roman" w:cs="Times New Roman"/>
          <w:sz w:val="27"/>
          <w:szCs w:val="27"/>
          <w:lang w:eastAsia="ru-RU"/>
        </w:rPr>
      </w:pPr>
      <w:r w:rsidRPr="00195EC9">
        <w:rPr>
          <w:rFonts w:ascii="Times New Roman" w:eastAsia="Times New Roman" w:hAnsi="Times New Roman" w:cs="Times New Roman"/>
          <w:sz w:val="27"/>
          <w:szCs w:val="27"/>
          <w:lang w:eastAsia="ru-RU"/>
        </w:rPr>
        <w:t xml:space="preserve">        </w:t>
      </w:r>
    </w:p>
    <w:p w:rsidR="00871AD1" w:rsidRPr="00FE0336" w:rsidRDefault="00871AD1" w:rsidP="00195EC9">
      <w:pPr>
        <w:jc w:val="center"/>
        <w:rPr>
          <w:sz w:val="2"/>
          <w:szCs w:val="2"/>
        </w:rPr>
      </w:pPr>
    </w:p>
    <w:sectPr w:rsidR="00871AD1" w:rsidRPr="00FE0336" w:rsidSect="00B43BFD">
      <w:head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BC" w:rsidRDefault="00D951BC" w:rsidP="00301F7B">
      <w:pPr>
        <w:spacing w:after="0" w:line="240" w:lineRule="auto"/>
      </w:pPr>
      <w:r>
        <w:separator/>
      </w:r>
    </w:p>
  </w:endnote>
  <w:endnote w:type="continuationSeparator" w:id="0">
    <w:p w:rsidR="00D951BC" w:rsidRDefault="00D951BC" w:rsidP="0030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BC" w:rsidRDefault="00D951BC" w:rsidP="00301F7B">
      <w:pPr>
        <w:spacing w:after="0" w:line="240" w:lineRule="auto"/>
      </w:pPr>
      <w:r>
        <w:separator/>
      </w:r>
    </w:p>
  </w:footnote>
  <w:footnote w:type="continuationSeparator" w:id="0">
    <w:p w:rsidR="00D951BC" w:rsidRDefault="00D951BC" w:rsidP="00301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70" w:rsidRDefault="004F7370">
    <w:pPr>
      <w:pStyle w:val="a4"/>
      <w:jc w:val="center"/>
    </w:pPr>
  </w:p>
  <w:p w:rsidR="004F7370" w:rsidRPr="00CD1D26" w:rsidRDefault="004F7370" w:rsidP="00700A67">
    <w:pPr>
      <w:pStyle w:val="a4"/>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40851"/>
    <w:multiLevelType w:val="hybridMultilevel"/>
    <w:tmpl w:val="A8B488DC"/>
    <w:lvl w:ilvl="0" w:tplc="B43044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7741"/>
    <w:rsid w:val="00032F56"/>
    <w:rsid w:val="00035ADC"/>
    <w:rsid w:val="000559D6"/>
    <w:rsid w:val="000666D4"/>
    <w:rsid w:val="00096289"/>
    <w:rsid w:val="00096AB9"/>
    <w:rsid w:val="000A0C81"/>
    <w:rsid w:val="000E2626"/>
    <w:rsid w:val="0011778F"/>
    <w:rsid w:val="001265B1"/>
    <w:rsid w:val="00130547"/>
    <w:rsid w:val="00143325"/>
    <w:rsid w:val="00195EC9"/>
    <w:rsid w:val="00196BF4"/>
    <w:rsid w:val="00197408"/>
    <w:rsid w:val="001C1895"/>
    <w:rsid w:val="001C71A5"/>
    <w:rsid w:val="001C7BD9"/>
    <w:rsid w:val="001D4CD6"/>
    <w:rsid w:val="001D5C82"/>
    <w:rsid w:val="002009A3"/>
    <w:rsid w:val="0020478D"/>
    <w:rsid w:val="002157B0"/>
    <w:rsid w:val="002212F6"/>
    <w:rsid w:val="002214DA"/>
    <w:rsid w:val="00241A56"/>
    <w:rsid w:val="00270B02"/>
    <w:rsid w:val="002A09E5"/>
    <w:rsid w:val="002E62DC"/>
    <w:rsid w:val="003000EC"/>
    <w:rsid w:val="00301F7B"/>
    <w:rsid w:val="003032D2"/>
    <w:rsid w:val="0032098F"/>
    <w:rsid w:val="003643B0"/>
    <w:rsid w:val="00374081"/>
    <w:rsid w:val="00377309"/>
    <w:rsid w:val="00381081"/>
    <w:rsid w:val="0039330E"/>
    <w:rsid w:val="003C7779"/>
    <w:rsid w:val="003E3465"/>
    <w:rsid w:val="003F7C28"/>
    <w:rsid w:val="00402B8B"/>
    <w:rsid w:val="00406AE7"/>
    <w:rsid w:val="0042431E"/>
    <w:rsid w:val="004339C1"/>
    <w:rsid w:val="00441A69"/>
    <w:rsid w:val="00487BE0"/>
    <w:rsid w:val="004E543B"/>
    <w:rsid w:val="004F7370"/>
    <w:rsid w:val="00514189"/>
    <w:rsid w:val="005424F3"/>
    <w:rsid w:val="00554D01"/>
    <w:rsid w:val="0057184E"/>
    <w:rsid w:val="005813C4"/>
    <w:rsid w:val="005B001E"/>
    <w:rsid w:val="005B1E64"/>
    <w:rsid w:val="005B2E34"/>
    <w:rsid w:val="005B630D"/>
    <w:rsid w:val="005C16BC"/>
    <w:rsid w:val="005D5E31"/>
    <w:rsid w:val="005F3CAB"/>
    <w:rsid w:val="00630A94"/>
    <w:rsid w:val="00643405"/>
    <w:rsid w:val="006A3FB1"/>
    <w:rsid w:val="006B1E6F"/>
    <w:rsid w:val="006E6EC3"/>
    <w:rsid w:val="006F6A40"/>
    <w:rsid w:val="00720AF8"/>
    <w:rsid w:val="0072187A"/>
    <w:rsid w:val="007279D3"/>
    <w:rsid w:val="0074651D"/>
    <w:rsid w:val="00750B2B"/>
    <w:rsid w:val="007B724B"/>
    <w:rsid w:val="007F16A7"/>
    <w:rsid w:val="00805AE3"/>
    <w:rsid w:val="00821B9D"/>
    <w:rsid w:val="00831151"/>
    <w:rsid w:val="00861093"/>
    <w:rsid w:val="00871AD1"/>
    <w:rsid w:val="00883AF0"/>
    <w:rsid w:val="008924EC"/>
    <w:rsid w:val="008A1E5E"/>
    <w:rsid w:val="008A6948"/>
    <w:rsid w:val="008B14A9"/>
    <w:rsid w:val="008B356E"/>
    <w:rsid w:val="008D0018"/>
    <w:rsid w:val="00902DCE"/>
    <w:rsid w:val="00911800"/>
    <w:rsid w:val="009768E3"/>
    <w:rsid w:val="009A0498"/>
    <w:rsid w:val="009A1545"/>
    <w:rsid w:val="009F246D"/>
    <w:rsid w:val="00A03CF2"/>
    <w:rsid w:val="00A1752A"/>
    <w:rsid w:val="00A331E9"/>
    <w:rsid w:val="00A74B2F"/>
    <w:rsid w:val="00A83765"/>
    <w:rsid w:val="00A90459"/>
    <w:rsid w:val="00A97A05"/>
    <w:rsid w:val="00AA522A"/>
    <w:rsid w:val="00AE1B6E"/>
    <w:rsid w:val="00B11917"/>
    <w:rsid w:val="00B41D17"/>
    <w:rsid w:val="00B43BFD"/>
    <w:rsid w:val="00B51625"/>
    <w:rsid w:val="00B827BA"/>
    <w:rsid w:val="00B831E6"/>
    <w:rsid w:val="00B96879"/>
    <w:rsid w:val="00BB120E"/>
    <w:rsid w:val="00BB15E2"/>
    <w:rsid w:val="00BC21F1"/>
    <w:rsid w:val="00BD1BDE"/>
    <w:rsid w:val="00BE0029"/>
    <w:rsid w:val="00BE0D1E"/>
    <w:rsid w:val="00BE584C"/>
    <w:rsid w:val="00BF7773"/>
    <w:rsid w:val="00C019A3"/>
    <w:rsid w:val="00C02B8A"/>
    <w:rsid w:val="00C54BF2"/>
    <w:rsid w:val="00C621D0"/>
    <w:rsid w:val="00C86D6D"/>
    <w:rsid w:val="00C87AED"/>
    <w:rsid w:val="00D550E7"/>
    <w:rsid w:val="00D710D9"/>
    <w:rsid w:val="00D72C18"/>
    <w:rsid w:val="00D771AA"/>
    <w:rsid w:val="00D904FC"/>
    <w:rsid w:val="00D951BC"/>
    <w:rsid w:val="00D95298"/>
    <w:rsid w:val="00DF2764"/>
    <w:rsid w:val="00DF7995"/>
    <w:rsid w:val="00E25AC4"/>
    <w:rsid w:val="00E34F10"/>
    <w:rsid w:val="00E35E79"/>
    <w:rsid w:val="00E37414"/>
    <w:rsid w:val="00E42E96"/>
    <w:rsid w:val="00E43998"/>
    <w:rsid w:val="00E804E2"/>
    <w:rsid w:val="00E83B55"/>
    <w:rsid w:val="00E876EA"/>
    <w:rsid w:val="00E97741"/>
    <w:rsid w:val="00ED1CC5"/>
    <w:rsid w:val="00EE5394"/>
    <w:rsid w:val="00EE70DE"/>
    <w:rsid w:val="00EF7155"/>
    <w:rsid w:val="00F0102D"/>
    <w:rsid w:val="00F11C27"/>
    <w:rsid w:val="00F2440C"/>
    <w:rsid w:val="00F41A28"/>
    <w:rsid w:val="00F4263D"/>
    <w:rsid w:val="00F74A3A"/>
    <w:rsid w:val="00FE0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C4"/>
    <w:pPr>
      <w:spacing w:after="160" w:line="259" w:lineRule="auto"/>
    </w:pPr>
    <w:rPr>
      <w:lang w:val="uk-UA"/>
    </w:rPr>
  </w:style>
  <w:style w:type="paragraph" w:styleId="1">
    <w:name w:val="heading 1"/>
    <w:basedOn w:val="a"/>
    <w:next w:val="a"/>
    <w:link w:val="10"/>
    <w:uiPriority w:val="9"/>
    <w:qFormat/>
    <w:rsid w:val="005B6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4F7370"/>
    <w:pPr>
      <w:suppressAutoHyphens/>
      <w:spacing w:before="240" w:after="60" w:line="240" w:lineRule="auto"/>
      <w:outlineLvl w:val="5"/>
    </w:pPr>
    <w:rPr>
      <w:rFonts w:ascii="Times New Roman" w:eastAsia="Times New Roman" w:hAnsi="Times New Roman" w:cs="Times New Roman"/>
      <w:b/>
      <w:bCs/>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1F7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01F7B"/>
    <w:rPr>
      <w:lang w:val="uk-UA"/>
    </w:rPr>
  </w:style>
  <w:style w:type="paragraph" w:styleId="a6">
    <w:name w:val="footer"/>
    <w:basedOn w:val="a"/>
    <w:link w:val="a7"/>
    <w:uiPriority w:val="99"/>
    <w:semiHidden/>
    <w:unhideWhenUsed/>
    <w:rsid w:val="00301F7B"/>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301F7B"/>
    <w:rPr>
      <w:lang w:val="uk-UA"/>
    </w:rPr>
  </w:style>
  <w:style w:type="paragraph" w:styleId="a8">
    <w:name w:val="No Spacing"/>
    <w:uiPriority w:val="1"/>
    <w:qFormat/>
    <w:rsid w:val="005B630D"/>
    <w:pPr>
      <w:spacing w:after="0" w:line="240" w:lineRule="auto"/>
    </w:pPr>
    <w:rPr>
      <w:lang w:val="uk-UA"/>
    </w:rPr>
  </w:style>
  <w:style w:type="character" w:customStyle="1" w:styleId="10">
    <w:name w:val="Заголовок 1 Знак"/>
    <w:basedOn w:val="a0"/>
    <w:link w:val="1"/>
    <w:uiPriority w:val="9"/>
    <w:rsid w:val="005B630D"/>
    <w:rPr>
      <w:rFonts w:asciiTheme="majorHAnsi" w:eastAsiaTheme="majorEastAsia" w:hAnsiTheme="majorHAnsi" w:cstheme="majorBidi"/>
      <w:b/>
      <w:bCs/>
      <w:color w:val="365F91" w:themeColor="accent1" w:themeShade="BF"/>
      <w:sz w:val="28"/>
      <w:szCs w:val="28"/>
      <w:lang w:val="uk-UA"/>
    </w:rPr>
  </w:style>
  <w:style w:type="character" w:customStyle="1" w:styleId="60">
    <w:name w:val="Заголовок 6 Знак"/>
    <w:basedOn w:val="a0"/>
    <w:link w:val="6"/>
    <w:rsid w:val="004F7370"/>
    <w:rPr>
      <w:rFonts w:ascii="Times New Roman" w:eastAsia="Times New Roman" w:hAnsi="Times New Roman" w:cs="Times New Roman"/>
      <w:b/>
      <w:bCs/>
      <w:lang w:eastAsia="ar-SA"/>
    </w:rPr>
  </w:style>
  <w:style w:type="paragraph" w:styleId="a9">
    <w:name w:val="Normal (Web)"/>
    <w:basedOn w:val="a"/>
    <w:uiPriority w:val="99"/>
    <w:rsid w:val="004F7370"/>
    <w:pPr>
      <w:widowControl w:val="0"/>
      <w:suppressAutoHyphens/>
      <w:spacing w:before="280" w:after="280" w:line="240" w:lineRule="auto"/>
    </w:pPr>
    <w:rPr>
      <w:rFonts w:ascii="Times New Roman" w:eastAsia="Droid Sans Fallback" w:hAnsi="Times New Roman" w:cs="Mangal"/>
      <w:kern w:val="1"/>
      <w:sz w:val="28"/>
      <w:szCs w:val="24"/>
      <w:lang w:val="ru-RU" w:eastAsia="hi-IN" w:bidi="hi-IN"/>
    </w:rPr>
  </w:style>
  <w:style w:type="character" w:customStyle="1" w:styleId="apple-converted-space">
    <w:name w:val="apple-converted-space"/>
    <w:basedOn w:val="a0"/>
    <w:rsid w:val="004F7370"/>
  </w:style>
  <w:style w:type="character" w:styleId="aa">
    <w:name w:val="Strong"/>
    <w:basedOn w:val="a0"/>
    <w:qFormat/>
    <w:rsid w:val="004F7370"/>
    <w:rPr>
      <w:b/>
      <w:bCs/>
    </w:rPr>
  </w:style>
  <w:style w:type="paragraph" w:customStyle="1" w:styleId="rvps2">
    <w:name w:val="rvps2"/>
    <w:basedOn w:val="a"/>
    <w:uiPriority w:val="99"/>
    <w:rsid w:val="004F73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Indent"/>
    <w:basedOn w:val="a"/>
    <w:link w:val="ac"/>
    <w:rsid w:val="004F7370"/>
    <w:pPr>
      <w:suppressAutoHyphens/>
      <w:spacing w:after="120" w:line="240" w:lineRule="auto"/>
      <w:ind w:left="283"/>
    </w:pPr>
    <w:rPr>
      <w:rFonts w:ascii="Times New Roman" w:eastAsia="Times New Roman" w:hAnsi="Times New Roman" w:cs="Times New Roman"/>
      <w:sz w:val="28"/>
      <w:szCs w:val="24"/>
      <w:lang w:val="ru-RU" w:eastAsia="ar-SA"/>
    </w:rPr>
  </w:style>
  <w:style w:type="character" w:customStyle="1" w:styleId="ac">
    <w:name w:val="Основной текст с отступом Знак"/>
    <w:basedOn w:val="a0"/>
    <w:link w:val="ab"/>
    <w:rsid w:val="004F7370"/>
    <w:rPr>
      <w:rFonts w:ascii="Times New Roman" w:eastAsia="Times New Roman" w:hAnsi="Times New Roman" w:cs="Times New Roman"/>
      <w:sz w:val="28"/>
      <w:szCs w:val="24"/>
      <w:lang w:eastAsia="ar-SA"/>
    </w:rPr>
  </w:style>
  <w:style w:type="paragraph" w:customStyle="1" w:styleId="Style7">
    <w:name w:val="Style7"/>
    <w:basedOn w:val="a"/>
    <w:rsid w:val="004F7370"/>
    <w:pPr>
      <w:widowControl w:val="0"/>
      <w:autoSpaceDE w:val="0"/>
      <w:autoSpaceDN w:val="0"/>
      <w:adjustRightInd w:val="0"/>
      <w:spacing w:after="0" w:line="319" w:lineRule="exact"/>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4F73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7370"/>
    <w:rPr>
      <w:rFonts w:ascii="Tahoma" w:hAnsi="Tahoma" w:cs="Tahoma"/>
      <w:sz w:val="16"/>
      <w:szCs w:val="16"/>
      <w:lang w:val="uk-UA"/>
    </w:rPr>
  </w:style>
  <w:style w:type="paragraph" w:customStyle="1" w:styleId="af">
    <w:name w:val="Розпорядження"/>
    <w:basedOn w:val="a"/>
    <w:link w:val="af0"/>
    <w:qFormat/>
    <w:rsid w:val="00B831E6"/>
    <w:pPr>
      <w:spacing w:after="0" w:line="240" w:lineRule="auto"/>
      <w:jc w:val="center"/>
    </w:pPr>
    <w:rPr>
      <w:rFonts w:ascii="Times New Roman" w:eastAsia="Times New Roman" w:hAnsi="Times New Roman" w:cs="Times New Roman"/>
      <w:sz w:val="24"/>
      <w:szCs w:val="24"/>
    </w:rPr>
  </w:style>
  <w:style w:type="character" w:customStyle="1" w:styleId="af0">
    <w:name w:val="Розпорядження Знак"/>
    <w:link w:val="af"/>
    <w:rsid w:val="00B831E6"/>
    <w:rPr>
      <w:rFonts w:ascii="Times New Roman" w:eastAsia="Times New Roman" w:hAnsi="Times New Roman" w:cs="Times New Roman"/>
      <w:sz w:val="24"/>
      <w:szCs w:val="24"/>
    </w:rPr>
  </w:style>
  <w:style w:type="paragraph" w:customStyle="1" w:styleId="af1">
    <w:name w:val="Нормальний текст"/>
    <w:basedOn w:val="a"/>
    <w:uiPriority w:val="99"/>
    <w:rsid w:val="001D5C82"/>
    <w:pPr>
      <w:spacing w:before="120" w:after="0" w:line="240" w:lineRule="auto"/>
      <w:ind w:firstLine="567"/>
    </w:pPr>
    <w:rPr>
      <w:rFonts w:ascii="Antiqua" w:eastAsia="Times New Roman" w:hAnsi="Antiqua" w:cs="Times New Roman"/>
      <w:sz w:val="26"/>
      <w:szCs w:val="20"/>
      <w:lang w:eastAsia="ru-RU"/>
    </w:rPr>
  </w:style>
  <w:style w:type="character" w:styleId="af2">
    <w:name w:val="Hyperlink"/>
    <w:basedOn w:val="a0"/>
    <w:uiPriority w:val="99"/>
    <w:unhideWhenUsed/>
    <w:rsid w:val="006A3FB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599">
      <w:bodyDiv w:val="1"/>
      <w:marLeft w:val="0"/>
      <w:marRight w:val="0"/>
      <w:marTop w:val="0"/>
      <w:marBottom w:val="0"/>
      <w:divBdr>
        <w:top w:val="none" w:sz="0" w:space="0" w:color="auto"/>
        <w:left w:val="none" w:sz="0" w:space="0" w:color="auto"/>
        <w:bottom w:val="none" w:sz="0" w:space="0" w:color="auto"/>
        <w:right w:val="none" w:sz="0" w:space="0" w:color="auto"/>
      </w:divBdr>
      <w:divsChild>
        <w:div w:id="748888657">
          <w:marLeft w:val="0"/>
          <w:marRight w:val="0"/>
          <w:marTop w:val="0"/>
          <w:marBottom w:val="0"/>
          <w:divBdr>
            <w:top w:val="none" w:sz="0" w:space="0" w:color="auto"/>
            <w:left w:val="none" w:sz="0" w:space="0" w:color="auto"/>
            <w:bottom w:val="none" w:sz="0" w:space="0" w:color="auto"/>
            <w:right w:val="none" w:sz="0" w:space="0" w:color="auto"/>
          </w:divBdr>
          <w:divsChild>
            <w:div w:id="237981089">
              <w:marLeft w:val="0"/>
              <w:marRight w:val="0"/>
              <w:marTop w:val="0"/>
              <w:marBottom w:val="0"/>
              <w:divBdr>
                <w:top w:val="none" w:sz="0" w:space="0" w:color="auto"/>
                <w:left w:val="none" w:sz="0" w:space="0" w:color="auto"/>
                <w:bottom w:val="none" w:sz="0" w:space="0" w:color="auto"/>
                <w:right w:val="none" w:sz="0" w:space="0" w:color="auto"/>
              </w:divBdr>
              <w:divsChild>
                <w:div w:id="1839030882">
                  <w:marLeft w:val="0"/>
                  <w:marRight w:val="0"/>
                  <w:marTop w:val="120"/>
                  <w:marBottom w:val="0"/>
                  <w:divBdr>
                    <w:top w:val="none" w:sz="0" w:space="0" w:color="auto"/>
                    <w:left w:val="none" w:sz="0" w:space="0" w:color="auto"/>
                    <w:bottom w:val="none" w:sz="0" w:space="0" w:color="auto"/>
                    <w:right w:val="none" w:sz="0" w:space="0" w:color="auto"/>
                  </w:divBdr>
                  <w:divsChild>
                    <w:div w:id="2045933719">
                      <w:marLeft w:val="0"/>
                      <w:marRight w:val="0"/>
                      <w:marTop w:val="0"/>
                      <w:marBottom w:val="0"/>
                      <w:divBdr>
                        <w:top w:val="none" w:sz="0" w:space="0" w:color="auto"/>
                        <w:left w:val="none" w:sz="0" w:space="0" w:color="auto"/>
                        <w:bottom w:val="none" w:sz="0" w:space="0" w:color="auto"/>
                        <w:right w:val="none" w:sz="0" w:space="0" w:color="auto"/>
                      </w:divBdr>
                      <w:divsChild>
                        <w:div w:id="1317690548">
                          <w:marLeft w:val="0"/>
                          <w:marRight w:val="0"/>
                          <w:marTop w:val="0"/>
                          <w:marBottom w:val="0"/>
                          <w:divBdr>
                            <w:top w:val="none" w:sz="0" w:space="0" w:color="auto"/>
                            <w:left w:val="none" w:sz="0" w:space="0" w:color="auto"/>
                            <w:bottom w:val="none" w:sz="0" w:space="0" w:color="auto"/>
                            <w:right w:val="none" w:sz="0" w:space="0" w:color="auto"/>
                          </w:divBdr>
                          <w:divsChild>
                            <w:div w:id="1516727619">
                              <w:marLeft w:val="0"/>
                              <w:marRight w:val="0"/>
                              <w:marTop w:val="0"/>
                              <w:marBottom w:val="0"/>
                              <w:divBdr>
                                <w:top w:val="none" w:sz="0" w:space="0" w:color="auto"/>
                                <w:left w:val="none" w:sz="0" w:space="0" w:color="auto"/>
                                <w:bottom w:val="none" w:sz="0" w:space="0" w:color="auto"/>
                                <w:right w:val="none" w:sz="0" w:space="0" w:color="auto"/>
                              </w:divBdr>
                              <w:divsChild>
                                <w:div w:id="1877889572">
                                  <w:marLeft w:val="0"/>
                                  <w:marRight w:val="0"/>
                                  <w:marTop w:val="0"/>
                                  <w:marBottom w:val="0"/>
                                  <w:divBdr>
                                    <w:top w:val="none" w:sz="0" w:space="0" w:color="auto"/>
                                    <w:left w:val="none" w:sz="0" w:space="0" w:color="auto"/>
                                    <w:bottom w:val="none" w:sz="0" w:space="0" w:color="auto"/>
                                    <w:right w:val="none" w:sz="0" w:space="0" w:color="auto"/>
                                  </w:divBdr>
                                  <w:divsChild>
                                    <w:div w:id="1408647129">
                                      <w:marLeft w:val="0"/>
                                      <w:marRight w:val="0"/>
                                      <w:marTop w:val="0"/>
                                      <w:marBottom w:val="0"/>
                                      <w:divBdr>
                                        <w:top w:val="none" w:sz="0" w:space="0" w:color="auto"/>
                                        <w:left w:val="none" w:sz="0" w:space="0" w:color="auto"/>
                                        <w:bottom w:val="none" w:sz="0" w:space="0" w:color="auto"/>
                                        <w:right w:val="none" w:sz="0" w:space="0" w:color="auto"/>
                                      </w:divBdr>
                                      <w:divsChild>
                                        <w:div w:id="575020253">
                                          <w:marLeft w:val="0"/>
                                          <w:marRight w:val="0"/>
                                          <w:marTop w:val="0"/>
                                          <w:marBottom w:val="0"/>
                                          <w:divBdr>
                                            <w:top w:val="none" w:sz="0" w:space="0" w:color="auto"/>
                                            <w:left w:val="none" w:sz="0" w:space="0" w:color="auto"/>
                                            <w:bottom w:val="none" w:sz="0" w:space="0" w:color="auto"/>
                                            <w:right w:val="none" w:sz="0" w:space="0" w:color="auto"/>
                                          </w:divBdr>
                                          <w:divsChild>
                                            <w:div w:id="1432899531">
                                              <w:marLeft w:val="0"/>
                                              <w:marRight w:val="0"/>
                                              <w:marTop w:val="0"/>
                                              <w:marBottom w:val="0"/>
                                              <w:divBdr>
                                                <w:top w:val="none" w:sz="0" w:space="0" w:color="auto"/>
                                                <w:left w:val="none" w:sz="0" w:space="0" w:color="auto"/>
                                                <w:bottom w:val="none" w:sz="0" w:space="0" w:color="auto"/>
                                                <w:right w:val="none" w:sz="0" w:space="0" w:color="auto"/>
                                              </w:divBdr>
                                            </w:div>
                                            <w:div w:id="1186601532">
                                              <w:marLeft w:val="0"/>
                                              <w:marRight w:val="0"/>
                                              <w:marTop w:val="0"/>
                                              <w:marBottom w:val="0"/>
                                              <w:divBdr>
                                                <w:top w:val="none" w:sz="0" w:space="0" w:color="auto"/>
                                                <w:left w:val="none" w:sz="0" w:space="0" w:color="auto"/>
                                                <w:bottom w:val="none" w:sz="0" w:space="0" w:color="auto"/>
                                                <w:right w:val="none" w:sz="0" w:space="0" w:color="auto"/>
                                              </w:divBdr>
                                            </w:div>
                                            <w:div w:id="157040405">
                                              <w:marLeft w:val="0"/>
                                              <w:marRight w:val="0"/>
                                              <w:marTop w:val="0"/>
                                              <w:marBottom w:val="0"/>
                                              <w:divBdr>
                                                <w:top w:val="none" w:sz="0" w:space="0" w:color="auto"/>
                                                <w:left w:val="none" w:sz="0" w:space="0" w:color="auto"/>
                                                <w:bottom w:val="none" w:sz="0" w:space="0" w:color="auto"/>
                                                <w:right w:val="none" w:sz="0" w:space="0" w:color="auto"/>
                                              </w:divBdr>
                                            </w:div>
                                            <w:div w:id="353964217">
                                              <w:marLeft w:val="0"/>
                                              <w:marRight w:val="0"/>
                                              <w:marTop w:val="0"/>
                                              <w:marBottom w:val="0"/>
                                              <w:divBdr>
                                                <w:top w:val="none" w:sz="0" w:space="0" w:color="auto"/>
                                                <w:left w:val="none" w:sz="0" w:space="0" w:color="auto"/>
                                                <w:bottom w:val="none" w:sz="0" w:space="0" w:color="auto"/>
                                                <w:right w:val="none" w:sz="0" w:space="0" w:color="auto"/>
                                              </w:divBdr>
                                            </w:div>
                                            <w:div w:id="548491905">
                                              <w:marLeft w:val="0"/>
                                              <w:marRight w:val="0"/>
                                              <w:marTop w:val="0"/>
                                              <w:marBottom w:val="0"/>
                                              <w:divBdr>
                                                <w:top w:val="none" w:sz="0" w:space="0" w:color="auto"/>
                                                <w:left w:val="none" w:sz="0" w:space="0" w:color="auto"/>
                                                <w:bottom w:val="none" w:sz="0" w:space="0" w:color="auto"/>
                                                <w:right w:val="none" w:sz="0" w:space="0" w:color="auto"/>
                                              </w:divBdr>
                                            </w:div>
                                            <w:div w:id="1325470673">
                                              <w:marLeft w:val="0"/>
                                              <w:marRight w:val="0"/>
                                              <w:marTop w:val="0"/>
                                              <w:marBottom w:val="0"/>
                                              <w:divBdr>
                                                <w:top w:val="none" w:sz="0" w:space="0" w:color="auto"/>
                                                <w:left w:val="none" w:sz="0" w:space="0" w:color="auto"/>
                                                <w:bottom w:val="none" w:sz="0" w:space="0" w:color="auto"/>
                                                <w:right w:val="none" w:sz="0" w:space="0" w:color="auto"/>
                                              </w:divBdr>
                                            </w:div>
                                            <w:div w:id="878854691">
                                              <w:marLeft w:val="0"/>
                                              <w:marRight w:val="0"/>
                                              <w:marTop w:val="0"/>
                                              <w:marBottom w:val="0"/>
                                              <w:divBdr>
                                                <w:top w:val="none" w:sz="0" w:space="0" w:color="auto"/>
                                                <w:left w:val="none" w:sz="0" w:space="0" w:color="auto"/>
                                                <w:bottom w:val="none" w:sz="0" w:space="0" w:color="auto"/>
                                                <w:right w:val="none" w:sz="0" w:space="0" w:color="auto"/>
                                              </w:divBdr>
                                            </w:div>
                                            <w:div w:id="1380471374">
                                              <w:marLeft w:val="0"/>
                                              <w:marRight w:val="0"/>
                                              <w:marTop w:val="0"/>
                                              <w:marBottom w:val="0"/>
                                              <w:divBdr>
                                                <w:top w:val="none" w:sz="0" w:space="0" w:color="auto"/>
                                                <w:left w:val="none" w:sz="0" w:space="0" w:color="auto"/>
                                                <w:bottom w:val="none" w:sz="0" w:space="0" w:color="auto"/>
                                                <w:right w:val="none" w:sz="0" w:space="0" w:color="auto"/>
                                              </w:divBdr>
                                            </w:div>
                                            <w:div w:id="382604271">
                                              <w:marLeft w:val="0"/>
                                              <w:marRight w:val="0"/>
                                              <w:marTop w:val="0"/>
                                              <w:marBottom w:val="0"/>
                                              <w:divBdr>
                                                <w:top w:val="none" w:sz="0" w:space="0" w:color="auto"/>
                                                <w:left w:val="none" w:sz="0" w:space="0" w:color="auto"/>
                                                <w:bottom w:val="none" w:sz="0" w:space="0" w:color="auto"/>
                                                <w:right w:val="none" w:sz="0" w:space="0" w:color="auto"/>
                                              </w:divBdr>
                                            </w:div>
                                            <w:div w:id="11906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515221">
                  <w:marLeft w:val="0"/>
                  <w:marRight w:val="0"/>
                  <w:marTop w:val="225"/>
                  <w:marBottom w:val="225"/>
                  <w:divBdr>
                    <w:top w:val="none" w:sz="0" w:space="0" w:color="auto"/>
                    <w:left w:val="none" w:sz="0" w:space="0" w:color="auto"/>
                    <w:bottom w:val="none" w:sz="0" w:space="0" w:color="auto"/>
                    <w:right w:val="none" w:sz="0" w:space="0" w:color="auto"/>
                  </w:divBdr>
                  <w:divsChild>
                    <w:div w:id="17336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7383">
      <w:bodyDiv w:val="1"/>
      <w:marLeft w:val="0"/>
      <w:marRight w:val="0"/>
      <w:marTop w:val="0"/>
      <w:marBottom w:val="0"/>
      <w:divBdr>
        <w:top w:val="none" w:sz="0" w:space="0" w:color="auto"/>
        <w:left w:val="none" w:sz="0" w:space="0" w:color="auto"/>
        <w:bottom w:val="none" w:sz="0" w:space="0" w:color="auto"/>
        <w:right w:val="none" w:sz="0" w:space="0" w:color="auto"/>
      </w:divBdr>
    </w:div>
    <w:div w:id="863515540">
      <w:bodyDiv w:val="1"/>
      <w:marLeft w:val="0"/>
      <w:marRight w:val="0"/>
      <w:marTop w:val="0"/>
      <w:marBottom w:val="0"/>
      <w:divBdr>
        <w:top w:val="none" w:sz="0" w:space="0" w:color="auto"/>
        <w:left w:val="none" w:sz="0" w:space="0" w:color="auto"/>
        <w:bottom w:val="none" w:sz="0" w:space="0" w:color="auto"/>
        <w:right w:val="none" w:sz="0" w:space="0" w:color="auto"/>
      </w:divBdr>
    </w:div>
    <w:div w:id="964189998">
      <w:bodyDiv w:val="1"/>
      <w:marLeft w:val="0"/>
      <w:marRight w:val="0"/>
      <w:marTop w:val="0"/>
      <w:marBottom w:val="0"/>
      <w:divBdr>
        <w:top w:val="none" w:sz="0" w:space="0" w:color="auto"/>
        <w:left w:val="none" w:sz="0" w:space="0" w:color="auto"/>
        <w:bottom w:val="none" w:sz="0" w:space="0" w:color="auto"/>
        <w:right w:val="none" w:sz="0" w:space="0" w:color="auto"/>
      </w:divBdr>
    </w:div>
    <w:div w:id="20146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arch.ligazakon.ua/l_doc2.nsf/link1/T10_2755.html"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E722-D3AB-4524-A98E-48BC819E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demydyuk</cp:lastModifiedBy>
  <cp:revision>13</cp:revision>
  <cp:lastPrinted>2019-03-22T13:28:00Z</cp:lastPrinted>
  <dcterms:created xsi:type="dcterms:W3CDTF">2019-07-01T12:14:00Z</dcterms:created>
  <dcterms:modified xsi:type="dcterms:W3CDTF">2019-07-05T12:44:00Z</dcterms:modified>
</cp:coreProperties>
</file>